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7334F4" w:rsidP="00BC4F56">
      <w:pPr>
        <w:pStyle w:val="berschrift2"/>
      </w:pPr>
      <w:r>
        <w:t>10,2 % höherer Auftragseingang</w:t>
      </w:r>
      <w:r w:rsidR="007E2163">
        <w:t xml:space="preserve"> </w:t>
      </w:r>
      <w:r w:rsidR="003929BD">
        <w:t>bei</w:t>
      </w:r>
      <w:r w:rsidR="007E2163">
        <w:t xml:space="preserve"> Koenig &amp; Bauer</w:t>
      </w:r>
    </w:p>
    <w:p w:rsidR="00BC4F56" w:rsidRPr="00BC4F56" w:rsidRDefault="00BC4F56" w:rsidP="00BC4F56">
      <w:pPr>
        <w:spacing w:after="240"/>
      </w:pPr>
    </w:p>
    <w:p w:rsidR="00BC4F56" w:rsidRPr="00BF5D04" w:rsidRDefault="007E2163" w:rsidP="00BC4F56">
      <w:pPr>
        <w:pStyle w:val="Untertitel"/>
        <w:spacing w:after="240"/>
        <w:rPr>
          <w:szCs w:val="24"/>
        </w:rPr>
      </w:pPr>
      <w:r w:rsidRPr="00BF5D04">
        <w:rPr>
          <w:szCs w:val="24"/>
        </w:rPr>
        <w:t>Wachstumsoffensive 2023 hat besonders hohe Priorität</w:t>
      </w:r>
    </w:p>
    <w:p w:rsidR="00A44634" w:rsidRDefault="00C905B6" w:rsidP="00A44634">
      <w:pPr>
        <w:pStyle w:val="Aufzhlung"/>
        <w:spacing w:after="240"/>
      </w:pPr>
      <w:r>
        <w:t>Bestellz</w:t>
      </w:r>
      <w:r w:rsidR="007E2163">
        <w:t>uwächse im Service</w:t>
      </w:r>
      <w:r>
        <w:t xml:space="preserve"> sowie im </w:t>
      </w:r>
      <w:r w:rsidR="007E2163">
        <w:t xml:space="preserve">Verpackungs- </w:t>
      </w:r>
      <w:r>
        <w:t>und</w:t>
      </w:r>
      <w:r w:rsidR="007E2163">
        <w:t xml:space="preserve"> Wertpapierdruck</w:t>
      </w:r>
    </w:p>
    <w:p w:rsidR="00A44634" w:rsidRDefault="007E2163" w:rsidP="00A44634">
      <w:pPr>
        <w:pStyle w:val="Aufzhlung"/>
        <w:spacing w:after="240"/>
      </w:pPr>
      <w:r>
        <w:t>Gut gefüllte Projektpipeline in allen Geschäftsfeldern</w:t>
      </w:r>
    </w:p>
    <w:p w:rsidR="00A44634" w:rsidRDefault="007E2163" w:rsidP="00A44634">
      <w:pPr>
        <w:pStyle w:val="Aufzhlung"/>
        <w:spacing w:after="240"/>
      </w:pPr>
      <w:r>
        <w:t>6,2 % Umsatzzuwachs</w:t>
      </w:r>
    </w:p>
    <w:p w:rsidR="00A44634" w:rsidRDefault="007E2163" w:rsidP="00A44634">
      <w:pPr>
        <w:pStyle w:val="Aufzhlung"/>
        <w:spacing w:after="240"/>
      </w:pPr>
      <w:r>
        <w:t>Volle Kapazitätsauslastung durch hohen Auftragsbestand</w:t>
      </w:r>
    </w:p>
    <w:p w:rsidR="00A44634" w:rsidRDefault="00C905B6" w:rsidP="00A44634">
      <w:pPr>
        <w:pStyle w:val="Aufzhlung"/>
        <w:spacing w:after="240"/>
      </w:pPr>
      <w:r>
        <w:t>Q1-Ergebnis trotz Wachstumsaufwendungen nahe Vorjahr</w:t>
      </w:r>
      <w:bookmarkStart w:id="0" w:name="_GoBack"/>
      <w:bookmarkEnd w:id="0"/>
    </w:p>
    <w:p w:rsidR="00A44634" w:rsidRDefault="00C905B6" w:rsidP="00A44634">
      <w:pPr>
        <w:pStyle w:val="Aufzhlung"/>
        <w:spacing w:after="240"/>
      </w:pPr>
      <w:r>
        <w:t>37,5 % Eigenkapitalquote</w:t>
      </w:r>
    </w:p>
    <w:p w:rsidR="00584EAD" w:rsidRPr="00A44634" w:rsidRDefault="00975E61" w:rsidP="00A44634">
      <w:pPr>
        <w:pStyle w:val="Aufzhlung"/>
        <w:spacing w:after="240"/>
      </w:pPr>
      <w:r>
        <w:t xml:space="preserve">Konzernziele 2019: </w:t>
      </w:r>
      <w:r w:rsidR="00CC57C9">
        <w:t xml:space="preserve">organischer </w:t>
      </w:r>
      <w:r>
        <w:t xml:space="preserve">Umsatzanstieg von </w:t>
      </w:r>
      <w:r w:rsidR="00C905B6">
        <w:t>rund</w:t>
      </w:r>
      <w:r>
        <w:t xml:space="preserve"> 4 % und EBIT-Marge von rund 6 %</w:t>
      </w:r>
    </w:p>
    <w:p w:rsidR="00CE56BD" w:rsidRDefault="00A44634" w:rsidP="00CE1F7E">
      <w:pPr>
        <w:spacing w:after="240"/>
        <w:ind w:right="139"/>
      </w:pPr>
      <w:r>
        <w:t>Würzburg</w:t>
      </w:r>
      <w:r w:rsidR="00584EAD" w:rsidRPr="00A44634">
        <w:t xml:space="preserve">, </w:t>
      </w:r>
      <w:r w:rsidR="00CE56BD">
        <w:t>3</w:t>
      </w:r>
      <w:r>
        <w:t>. M</w:t>
      </w:r>
      <w:r w:rsidR="00CE56BD">
        <w:t>ai</w:t>
      </w:r>
      <w:r>
        <w:t xml:space="preserve"> 2019</w:t>
      </w:r>
      <w:r w:rsidR="00584EAD" w:rsidRPr="00A44634">
        <w:br/>
      </w:r>
      <w:r w:rsidR="00CE56BD">
        <w:rPr>
          <w:bCs/>
        </w:rPr>
        <w:t>In das Geschäftsjahr 2019 ist die Koenig &amp; Bauer-Gruppe mit einem gegenüber dem Vorjahresqua</w:t>
      </w:r>
      <w:r w:rsidR="00CE56BD">
        <w:rPr>
          <w:bCs/>
        </w:rPr>
        <w:t>r</w:t>
      </w:r>
      <w:r w:rsidR="00CE56BD">
        <w:rPr>
          <w:bCs/>
        </w:rPr>
        <w:t>tal zweistellig auf 276,4 Mio. € gestiegenen Auftragseingang gut gestartet. Zu diesem starken, über dem Branchendurchschnitt liegenden Zuwachs haben deutlich mehr Serviceaufträge und Bestellu</w:t>
      </w:r>
      <w:r w:rsidR="00CE56BD">
        <w:rPr>
          <w:bCs/>
        </w:rPr>
        <w:t>n</w:t>
      </w:r>
      <w:r w:rsidR="00CE56BD">
        <w:rPr>
          <w:bCs/>
        </w:rPr>
        <w:t xml:space="preserve">gen für den Faltschachtel-, Glasdirekt- und Wertpapierdruck beigetragen. Der Umsatz übertraf mit 230,7 Mio. € den Vorjahreswert um 6,2 %. Das EBIT war durch das niedrige Umsatzniveau noch leicht negativ und lag trotz hoher Markteintritts- und Wachstumsaufwendungen </w:t>
      </w:r>
      <w:r w:rsidR="00CE56BD" w:rsidRPr="00C00F13">
        <w:t>mit –</w:t>
      </w:r>
      <w:r w:rsidR="00CE56BD">
        <w:t>2,8</w:t>
      </w:r>
      <w:r w:rsidR="00CE56BD" w:rsidRPr="00C00F13">
        <w:t xml:space="preserve"> Mio. € </w:t>
      </w:r>
      <w:r w:rsidR="00CE56BD">
        <w:t>nahe am</w:t>
      </w:r>
      <w:r w:rsidR="00CE56BD" w:rsidRPr="00C00F13">
        <w:t xml:space="preserve"> Vorjahr</w:t>
      </w:r>
      <w:r w:rsidR="00CE56BD">
        <w:t xml:space="preserve">eswert von </w:t>
      </w:r>
      <w:r w:rsidR="00CE56BD" w:rsidRPr="00C00F13">
        <w:t>–1,9 Mio. €</w:t>
      </w:r>
      <w:r w:rsidR="00CE56BD">
        <w:t xml:space="preserve">. </w:t>
      </w:r>
      <w:r w:rsidR="00C905B6" w:rsidRPr="00A44634">
        <w:t xml:space="preserve">Mit </w:t>
      </w:r>
      <w:r w:rsidR="00C905B6" w:rsidRPr="00C00F13">
        <w:t>–</w:t>
      </w:r>
      <w:r w:rsidR="00C905B6">
        <w:t>4</w:t>
      </w:r>
      <w:r w:rsidR="00C905B6" w:rsidRPr="00C00F13">
        <w:t xml:space="preserve">,9 </w:t>
      </w:r>
      <w:r w:rsidR="00C905B6" w:rsidRPr="00A44634">
        <w:t xml:space="preserve">Mio. € entspricht das Konzernergebnis im </w:t>
      </w:r>
      <w:r w:rsidR="00C905B6">
        <w:t xml:space="preserve">ersten Quartal 2019 </w:t>
      </w:r>
      <w:r w:rsidR="00C905B6" w:rsidRPr="00A44634">
        <w:t xml:space="preserve">einem anteiligen Ergebnis je Aktie von </w:t>
      </w:r>
      <w:r w:rsidR="00C905B6" w:rsidRPr="00C00F13">
        <w:t>–</w:t>
      </w:r>
      <w:r w:rsidR="00C905B6">
        <w:t>0,30</w:t>
      </w:r>
      <w:r w:rsidR="00C905B6" w:rsidRPr="00A44634">
        <w:t xml:space="preserve"> €.</w:t>
      </w:r>
    </w:p>
    <w:p w:rsidR="00A44634" w:rsidRPr="00A44634" w:rsidRDefault="00CE56BD" w:rsidP="00A44634">
      <w:pPr>
        <w:pStyle w:val="berschrift3"/>
      </w:pPr>
      <w:r>
        <w:t>Starker Auftragseingang bei Sheetfed</w:t>
      </w:r>
    </w:p>
    <w:p w:rsidR="00A44634" w:rsidRPr="00F43876" w:rsidRDefault="00CE56BD" w:rsidP="00F53973">
      <w:pPr>
        <w:spacing w:after="240"/>
        <w:ind w:right="281"/>
        <w:rPr>
          <w:szCs w:val="20"/>
        </w:rPr>
      </w:pPr>
      <w:r w:rsidRPr="00F43876">
        <w:rPr>
          <w:rFonts w:ascii="Arial" w:hAnsi="Arial" w:cs="Arial"/>
          <w:szCs w:val="20"/>
        </w:rPr>
        <w:t xml:space="preserve">Neben einem </w:t>
      </w:r>
      <w:r w:rsidR="00D80630">
        <w:rPr>
          <w:rFonts w:ascii="Arial" w:hAnsi="Arial" w:cs="Arial"/>
          <w:szCs w:val="20"/>
        </w:rPr>
        <w:t>erfreulichen</w:t>
      </w:r>
      <w:r w:rsidRPr="00F43876">
        <w:rPr>
          <w:rFonts w:ascii="Arial" w:hAnsi="Arial" w:cs="Arial"/>
          <w:szCs w:val="20"/>
        </w:rPr>
        <w:t xml:space="preserve"> Service-Neugeschäft führten deutlich höhere Maschinenbestellungen für den Verpackungsdruck zu einem Zuwachs des Auftragseingangs bei Shee</w:t>
      </w:r>
      <w:r w:rsidR="008C6097">
        <w:rPr>
          <w:rFonts w:ascii="Arial" w:hAnsi="Arial" w:cs="Arial"/>
          <w:szCs w:val="20"/>
        </w:rPr>
        <w:t>tfed um 12,4 % auf 173,5 Mio. €</w:t>
      </w:r>
      <w:r w:rsidRPr="00F43876">
        <w:rPr>
          <w:rFonts w:ascii="Arial" w:hAnsi="Arial" w:cs="Arial"/>
          <w:szCs w:val="20"/>
        </w:rPr>
        <w:t>. Mit 1,8 % legte der Um</w:t>
      </w:r>
      <w:r w:rsidR="008C6097">
        <w:rPr>
          <w:rFonts w:ascii="Arial" w:hAnsi="Arial" w:cs="Arial"/>
          <w:szCs w:val="20"/>
        </w:rPr>
        <w:t>satz leicht auf 113,0 Mio. € zu</w:t>
      </w:r>
      <w:r w:rsidRPr="00F43876">
        <w:rPr>
          <w:rFonts w:ascii="Arial" w:hAnsi="Arial" w:cs="Arial"/>
          <w:szCs w:val="20"/>
        </w:rPr>
        <w:t>. Der gute Auftragsbestand von 250,5 Mio. € sorgt weiterhin für eine hohe Kapazitätsauslastung. Durch den Produktmix und die Messekosten für die Print China lag das EBIT mit –3,1 Mio. € unter dem Vorjahr (0,4 Mio. €).</w:t>
      </w:r>
    </w:p>
    <w:p w:rsidR="00A44634" w:rsidRPr="004B5DBB" w:rsidRDefault="00A44634" w:rsidP="00A44634">
      <w:pPr>
        <w:pStyle w:val="berschrift3"/>
      </w:pPr>
      <w:r w:rsidRPr="004B5DBB">
        <w:t>Wachstumsaufwendungen belasten Digital &amp; Web-Ergebnis</w:t>
      </w:r>
    </w:p>
    <w:p w:rsidR="00A44634" w:rsidRPr="00F43876" w:rsidRDefault="00CE56BD" w:rsidP="00A44634">
      <w:pPr>
        <w:spacing w:after="240"/>
        <w:rPr>
          <w:szCs w:val="20"/>
        </w:rPr>
      </w:pPr>
      <w:r w:rsidRPr="00F43876">
        <w:rPr>
          <w:rFonts w:ascii="Arial" w:hAnsi="Arial" w:cs="Arial"/>
          <w:szCs w:val="20"/>
        </w:rPr>
        <w:t xml:space="preserve">Trotz des </w:t>
      </w:r>
      <w:r w:rsidR="003603A1">
        <w:rPr>
          <w:rFonts w:ascii="Arial" w:hAnsi="Arial" w:cs="Arial"/>
          <w:szCs w:val="20"/>
        </w:rPr>
        <w:t>deutlich</w:t>
      </w:r>
      <w:r w:rsidRPr="00F43876">
        <w:rPr>
          <w:rFonts w:ascii="Arial" w:hAnsi="Arial" w:cs="Arial"/>
          <w:szCs w:val="20"/>
        </w:rPr>
        <w:t xml:space="preserve"> gewachsenen Servicegeschäfts blieben die Bestellungen bei Digital &amp; Web mit 31,9 Mio. € durch weniger Maschinenaufträge für den Zeitungs- und flexiblen Verpackungsdruck unter dem Vorjahreswert von 45,2 Mio. €. Mit 32,4 Mio. € lag der Umsatz auf dem Niveau des Vorjahres. Der Vorjahreswert von 32,5 Mio. € war durch hohe Serviceerlöse aufgrund großer Maschinenumzüge b</w:t>
      </w:r>
      <w:r w:rsidRPr="00F43876">
        <w:rPr>
          <w:rFonts w:ascii="Arial" w:hAnsi="Arial" w:cs="Arial"/>
          <w:szCs w:val="20"/>
        </w:rPr>
        <w:t>e</w:t>
      </w:r>
      <w:r w:rsidRPr="00F43876">
        <w:rPr>
          <w:rFonts w:ascii="Arial" w:hAnsi="Arial" w:cs="Arial"/>
          <w:szCs w:val="20"/>
        </w:rPr>
        <w:t>günstigt. Das durch Markteintritts- und Wachstumsaufwendungen belastete EBIT betrug –5,6 Mio. € gegenüber –4,5 Mio. € im Vorjahr. Mit 85,4 Mio. € liegen Auftragsbestand und Kapazitätsau</w:t>
      </w:r>
      <w:r w:rsidR="008C6097">
        <w:rPr>
          <w:rFonts w:ascii="Arial" w:hAnsi="Arial" w:cs="Arial"/>
          <w:szCs w:val="20"/>
        </w:rPr>
        <w:t>slastung auf einem hohen Niveau</w:t>
      </w:r>
      <w:r w:rsidRPr="00F43876">
        <w:rPr>
          <w:rFonts w:ascii="Arial" w:hAnsi="Arial" w:cs="Arial"/>
          <w:szCs w:val="20"/>
        </w:rPr>
        <w:t>.</w:t>
      </w:r>
    </w:p>
    <w:p w:rsidR="00A44634" w:rsidRPr="004B5DBB" w:rsidRDefault="00CE56BD" w:rsidP="00A44634">
      <w:pPr>
        <w:pStyle w:val="berschrift3"/>
      </w:pPr>
      <w:r>
        <w:t>Deutliche Auftrags- und Umsatzzuwächse</w:t>
      </w:r>
      <w:r w:rsidR="00A44634" w:rsidRPr="004B5DBB">
        <w:t xml:space="preserve"> bei Special</w:t>
      </w:r>
    </w:p>
    <w:p w:rsidR="00A44634" w:rsidRPr="00F43876" w:rsidRDefault="00CE56BD" w:rsidP="00F53973">
      <w:pPr>
        <w:spacing w:after="240"/>
        <w:ind w:right="139"/>
        <w:rPr>
          <w:szCs w:val="20"/>
        </w:rPr>
      </w:pPr>
      <w:r w:rsidRPr="00F43876">
        <w:rPr>
          <w:rFonts w:ascii="Arial" w:hAnsi="Arial" w:cs="Arial"/>
          <w:szCs w:val="20"/>
        </w:rPr>
        <w:t>Mehr Serviceaufträge und Maschinenbestellungen im Wertpapier- und Glasdirektdruck steigerten das Neugeschäft im Segment Sp</w:t>
      </w:r>
      <w:r w:rsidR="008C6097">
        <w:rPr>
          <w:rFonts w:ascii="Arial" w:hAnsi="Arial" w:cs="Arial"/>
          <w:szCs w:val="20"/>
        </w:rPr>
        <w:t>ecial um 37,7 % auf 80,0 Mio. €</w:t>
      </w:r>
      <w:r w:rsidRPr="00F43876">
        <w:rPr>
          <w:rFonts w:ascii="Arial" w:hAnsi="Arial" w:cs="Arial"/>
          <w:szCs w:val="20"/>
        </w:rPr>
        <w:t>. Der Umsatz leg</w:t>
      </w:r>
      <w:r w:rsidR="008C6097">
        <w:rPr>
          <w:rFonts w:ascii="Arial" w:hAnsi="Arial" w:cs="Arial"/>
          <w:szCs w:val="20"/>
        </w:rPr>
        <w:t>te um 20,8 % auf 92,8 Mio. € zu</w:t>
      </w:r>
      <w:r w:rsidRPr="00F43876">
        <w:rPr>
          <w:rFonts w:ascii="Arial" w:hAnsi="Arial" w:cs="Arial"/>
          <w:szCs w:val="20"/>
        </w:rPr>
        <w:t>. Mit 331,7 Mio. € war der Auftragsbestand Ende März um 6,2 % hö</w:t>
      </w:r>
      <w:r w:rsidR="008C6097">
        <w:rPr>
          <w:rFonts w:ascii="Arial" w:hAnsi="Arial" w:cs="Arial"/>
          <w:szCs w:val="20"/>
        </w:rPr>
        <w:t xml:space="preserve">her als vor zwölf </w:t>
      </w:r>
      <w:r w:rsidR="008C6097">
        <w:rPr>
          <w:rFonts w:ascii="Arial" w:hAnsi="Arial" w:cs="Arial"/>
          <w:szCs w:val="20"/>
        </w:rPr>
        <w:lastRenderedPageBreak/>
        <w:t>Monaten</w:t>
      </w:r>
      <w:r w:rsidRPr="00F43876">
        <w:rPr>
          <w:rFonts w:ascii="Arial" w:hAnsi="Arial" w:cs="Arial"/>
          <w:szCs w:val="20"/>
        </w:rPr>
        <w:t>. Nach einem Segmentgewinn von 3,8 Mio. € im Vorjahr wird für das erste Quartal 2019 ein EBIT von 2,0 Mio. € ausgewiesen.</w:t>
      </w:r>
    </w:p>
    <w:p w:rsidR="00A44634" w:rsidRPr="004B5DBB" w:rsidRDefault="00324B88" w:rsidP="00A44634">
      <w:pPr>
        <w:pStyle w:val="berschrift3"/>
      </w:pPr>
      <w:r>
        <w:t>Solides Bilanz- und Finanzprofil</w:t>
      </w:r>
    </w:p>
    <w:p w:rsidR="00A44634" w:rsidRPr="00A44634" w:rsidRDefault="00F53973" w:rsidP="00A44634">
      <w:pPr>
        <w:spacing w:after="240"/>
      </w:pPr>
      <w:r>
        <w:t>Trotz deutlich zurückgeführter Forderungen und gestiegener Kundenanzahlungen haben höhere Vo</w:t>
      </w:r>
      <w:r>
        <w:t>r</w:t>
      </w:r>
      <w:r>
        <w:t xml:space="preserve">räte für das Umsatzwachstum in den Folgequartalen sowie hohe Investitionen für Bau- und IT-Projekte den Cashflow belastet. Zusätzlich erfolgte eine </w:t>
      </w:r>
      <w:r>
        <w:rPr>
          <w:bCs/>
        </w:rPr>
        <w:t>Teilzahlung in Höhe von 20 Mio. CHF an die schweizerische Bundesanwaltschaft im Rahmen der festgelegten Gewinneinziehung nach dem A</w:t>
      </w:r>
      <w:r>
        <w:rPr>
          <w:bCs/>
        </w:rPr>
        <w:t>b</w:t>
      </w:r>
      <w:r>
        <w:rPr>
          <w:bCs/>
        </w:rPr>
        <w:t>schluss des Selbstanzeige-Verfahrens wegen Defiziten in der Korruptionsprävention bei der Schwe</w:t>
      </w:r>
      <w:r>
        <w:rPr>
          <w:bCs/>
        </w:rPr>
        <w:t>i</w:t>
      </w:r>
      <w:r>
        <w:rPr>
          <w:bCs/>
        </w:rPr>
        <w:t xml:space="preserve">zer Tochtergesellschaft KBA-NotaSys SA. </w:t>
      </w:r>
      <w:r w:rsidR="00A44634" w:rsidRPr="00A44634">
        <w:t xml:space="preserve">Neben </w:t>
      </w:r>
      <w:r>
        <w:t>der</w:t>
      </w:r>
      <w:r w:rsidR="00A44634" w:rsidRPr="00A44634">
        <w:t xml:space="preserve"> Eigenliquidität verfüg</w:t>
      </w:r>
      <w:r>
        <w:t>t Koenig &amp; Bauer</w:t>
      </w:r>
      <w:r w:rsidR="00D80630">
        <w:t xml:space="preserve"> mit einer</w:t>
      </w:r>
      <w:r w:rsidR="00A44634" w:rsidRPr="00A44634">
        <w:t xml:space="preserve"> syndizierten Kreditlinie mit langfristiger Laufzeit über eine gute und stabile Finanzbasis. </w:t>
      </w:r>
      <w:r>
        <w:t>Die Eigenkap</w:t>
      </w:r>
      <w:r>
        <w:t>i</w:t>
      </w:r>
      <w:r>
        <w:t xml:space="preserve">talquote lag Ende März 2019 bei </w:t>
      </w:r>
      <w:r w:rsidR="00A44634" w:rsidRPr="00A44634">
        <w:t>3</w:t>
      </w:r>
      <w:r>
        <w:t>7</w:t>
      </w:r>
      <w:r w:rsidR="00A44634" w:rsidRPr="00A44634">
        <w:t>,</w:t>
      </w:r>
      <w:r w:rsidR="00CC57C9">
        <w:t>5</w:t>
      </w:r>
      <w:r w:rsidR="00A44634" w:rsidRPr="00A44634">
        <w:t xml:space="preserve"> %</w:t>
      </w:r>
      <w:r>
        <w:t>.</w:t>
      </w:r>
    </w:p>
    <w:p w:rsidR="00A44634" w:rsidRPr="00A44634" w:rsidRDefault="00A44634" w:rsidP="00A44634">
      <w:pPr>
        <w:pStyle w:val="berschrift3"/>
      </w:pPr>
      <w:r w:rsidRPr="00A44634">
        <w:t>Konzernziele 2019</w:t>
      </w:r>
    </w:p>
    <w:p w:rsidR="00A44634" w:rsidRPr="00A44634" w:rsidRDefault="00A44634" w:rsidP="004B5DBB">
      <w:pPr>
        <w:spacing w:after="240"/>
        <w:ind w:right="-2"/>
      </w:pPr>
      <w:r w:rsidRPr="00A44634">
        <w:t>CFO Mathias Dähn: „</w:t>
      </w:r>
      <w:r w:rsidR="00CE56BD">
        <w:t xml:space="preserve">Mit dem zum 31. März </w:t>
      </w:r>
      <w:r w:rsidR="00CE56BD" w:rsidRPr="00F31070">
        <w:t>201</w:t>
      </w:r>
      <w:r w:rsidR="00CE56BD">
        <w:t>9</w:t>
      </w:r>
      <w:r w:rsidR="00CE56BD" w:rsidRPr="00F31070">
        <w:t xml:space="preserve"> auf </w:t>
      </w:r>
      <w:r w:rsidR="00CE56BD">
        <w:t>656,6</w:t>
      </w:r>
      <w:r w:rsidR="00CE56BD" w:rsidRPr="00F31070">
        <w:t xml:space="preserve"> Mio. € gestiegenen Auftragsbestand </w:t>
      </w:r>
      <w:r w:rsidR="00CE56BD">
        <w:t>h</w:t>
      </w:r>
      <w:r w:rsidR="00CE56BD">
        <w:t>a</w:t>
      </w:r>
      <w:r w:rsidR="00CE56BD" w:rsidRPr="00F31070">
        <w:t xml:space="preserve">ben wir eine gute Visibilität </w:t>
      </w:r>
      <w:r w:rsidR="00CE56BD">
        <w:t xml:space="preserve">bis in den Herbst 2019 </w:t>
      </w:r>
      <w:r w:rsidR="00CE56BD" w:rsidRPr="00F31070">
        <w:t>und im Wertpapierdruck aufgrund der guten Au</w:t>
      </w:r>
      <w:r w:rsidR="00CE56BD" w:rsidRPr="00F31070">
        <w:t>f</w:t>
      </w:r>
      <w:r w:rsidR="00CE56BD" w:rsidRPr="00F31070">
        <w:t xml:space="preserve">tragslage bis in das Jahr 2020. </w:t>
      </w:r>
      <w:r w:rsidR="00CE56BD">
        <w:t xml:space="preserve">Darüber hinaus war die Messe Print China Mitte April in </w:t>
      </w:r>
      <w:r w:rsidR="00CE56BD" w:rsidRPr="00571998">
        <w:rPr>
          <w:rFonts w:cstheme="minorHAnsi"/>
        </w:rPr>
        <w:t>Guangdong</w:t>
      </w:r>
      <w:r w:rsidR="00CE56BD">
        <w:rPr>
          <w:rFonts w:cstheme="minorHAnsi"/>
        </w:rPr>
        <w:t xml:space="preserve"> mit den über unseren Erwartungen liegenden Verkaufsabschlüssen </w:t>
      </w:r>
      <w:r w:rsidR="00CE56BD" w:rsidRPr="00571998">
        <w:t xml:space="preserve">im mittleren </w:t>
      </w:r>
      <w:r w:rsidR="00CE56BD">
        <w:t>zweistelligen Milli</w:t>
      </w:r>
      <w:r w:rsidR="00CE56BD">
        <w:t>o</w:t>
      </w:r>
      <w:r w:rsidR="00CE56BD">
        <w:t>nenb</w:t>
      </w:r>
      <w:r w:rsidR="00CE56BD" w:rsidRPr="00571998">
        <w:t>ereich</w:t>
      </w:r>
      <w:r w:rsidR="00CE56BD">
        <w:t xml:space="preserve"> sehr erfolgreich. Auf Basis der guten Auftrags- und Projektlage mit der konzernweit vollen Kapazitätsauslastung sowie der weiteren </w:t>
      </w:r>
      <w:r w:rsidR="00CE56BD" w:rsidRPr="00F31070">
        <w:t>Fortschrit</w:t>
      </w:r>
      <w:r w:rsidR="00CE56BD">
        <w:t>te</w:t>
      </w:r>
      <w:r w:rsidR="00CE56BD" w:rsidRPr="00F31070">
        <w:t xml:space="preserve"> bei unseren Konzernprojekten zur Realisierung der 70 Mio. € Ergebnissteigerung </w:t>
      </w:r>
      <w:r w:rsidR="00CE56BD">
        <w:t xml:space="preserve">gegenüber 2016 sind wir zuversichtlich, </w:t>
      </w:r>
      <w:r w:rsidR="00CE56BD" w:rsidRPr="00F31070">
        <w:rPr>
          <w:color w:val="000000"/>
        </w:rPr>
        <w:t xml:space="preserve">2019 einen organischen Umsatzanstieg im Konzern von </w:t>
      </w:r>
      <w:r w:rsidR="00CE56BD">
        <w:rPr>
          <w:color w:val="000000"/>
        </w:rPr>
        <w:t>rund</w:t>
      </w:r>
      <w:r w:rsidR="00CE56BD" w:rsidRPr="00F31070">
        <w:rPr>
          <w:color w:val="000000"/>
        </w:rPr>
        <w:t xml:space="preserve"> 4 % und </w:t>
      </w:r>
      <w:r w:rsidR="00CE56BD" w:rsidRPr="00F31070">
        <w:t xml:space="preserve">eine EBIT-Marge von </w:t>
      </w:r>
      <w:r w:rsidR="00CE56BD">
        <w:t>rund 6</w:t>
      </w:r>
      <w:r w:rsidR="00CE56BD" w:rsidRPr="00F31070">
        <w:t xml:space="preserve"> % </w:t>
      </w:r>
      <w:r w:rsidR="00CE56BD">
        <w:rPr>
          <w:color w:val="000000"/>
        </w:rPr>
        <w:t>zu erreichen.</w:t>
      </w:r>
      <w:r w:rsidR="00CE56BD">
        <w:rPr>
          <w:bCs/>
        </w:rPr>
        <w:t xml:space="preserve"> Eine b</w:t>
      </w:r>
      <w:r w:rsidR="00CE56BD">
        <w:rPr>
          <w:bCs/>
        </w:rPr>
        <w:t>e</w:t>
      </w:r>
      <w:r w:rsidR="00CE56BD">
        <w:rPr>
          <w:bCs/>
        </w:rPr>
        <w:t xml:space="preserve">sonders hohe Priorität hat unsere Wachstumsoffensive 2023, </w:t>
      </w:r>
      <w:r w:rsidR="00CE56BD" w:rsidRPr="00F31070">
        <w:rPr>
          <w:color w:val="000000"/>
        </w:rPr>
        <w:t xml:space="preserve">deren Kosten wir kumuliert für 2019 bis 2021 </w:t>
      </w:r>
      <w:r w:rsidR="00CE56BD" w:rsidRPr="00F31070">
        <w:t>auf rund 50 Mio. € einschätzen</w:t>
      </w:r>
      <w:r w:rsidR="00CE56BD">
        <w:t xml:space="preserve"> bei einer stärkeren Belastung des Startjahres. Die daraus resu</w:t>
      </w:r>
      <w:r w:rsidR="00CE56BD">
        <w:t>l</w:t>
      </w:r>
      <w:r w:rsidR="00CE56BD">
        <w:t>tierende Margenbelastung ist in unserem Ertragsziel 2019 bereits enthalten.</w:t>
      </w:r>
      <w:r w:rsidRPr="00A44634">
        <w:t>“</w:t>
      </w:r>
    </w:p>
    <w:p w:rsidR="00A44634" w:rsidRPr="004B5DBB" w:rsidRDefault="00A44634" w:rsidP="00A44634">
      <w:pPr>
        <w:pStyle w:val="berschrift3"/>
      </w:pPr>
      <w:r w:rsidRPr="004B5DBB">
        <w:t>Mittelfristziele bis 2023</w:t>
      </w:r>
    </w:p>
    <w:p w:rsidR="00584EAD" w:rsidRDefault="00A44634" w:rsidP="00A44634">
      <w:pPr>
        <w:spacing w:after="240"/>
      </w:pPr>
      <w:r w:rsidRPr="00A44634">
        <w:t>CEO Claus Bolza-Schünemann: „</w:t>
      </w:r>
      <w:r w:rsidR="00CE56BD" w:rsidRPr="00F31070">
        <w:t>Mit unserer Wachstumsoffensive 2023 wollen wir die sich aktuell bietenden Marktchancen im Kartonagen</w:t>
      </w:r>
      <w:r w:rsidR="00CE56BD">
        <w:t>-</w:t>
      </w:r>
      <w:r w:rsidR="00CE56BD" w:rsidRPr="00F31070">
        <w:t>, Wellpappen-, flexiblen Verpackungs-, 2-Teil-Dosen-, Ken</w:t>
      </w:r>
      <w:r w:rsidR="00CE56BD" w:rsidRPr="00F31070">
        <w:t>n</w:t>
      </w:r>
      <w:r w:rsidR="00CE56BD" w:rsidRPr="00F31070">
        <w:t xml:space="preserve">zeichnungs-, Glasdirekt- und Dekordruck sowie im Postpress-Bereich offensiv für ein nachhaltiges profitables Wachstum nutzen. </w:t>
      </w:r>
      <w:r w:rsidR="00CE56BD">
        <w:t xml:space="preserve">Der Einfluss des volatilen </w:t>
      </w:r>
      <w:r w:rsidR="00CE56BD" w:rsidRPr="00F31070">
        <w:t xml:space="preserve">Wertpapiergeschäfts </w:t>
      </w:r>
      <w:r w:rsidR="00CE56BD">
        <w:t>wird sich mit dem höh</w:t>
      </w:r>
      <w:r w:rsidR="00CE56BD">
        <w:t>e</w:t>
      </w:r>
      <w:r w:rsidR="00CE56BD">
        <w:t>ren Verpackungsanteil am Konzernumsatz reduzieren. Bei den Rollenoffsetmaschinen für den Ze</w:t>
      </w:r>
      <w:r w:rsidR="00CE56BD">
        <w:t>i</w:t>
      </w:r>
      <w:r w:rsidR="00CE56BD">
        <w:t>tungs- und Akzidenzdruck gehen wir von einem weiteren Abschmelzen insbesondere des Serviceg</w:t>
      </w:r>
      <w:r w:rsidR="00CE56BD">
        <w:t>e</w:t>
      </w:r>
      <w:r w:rsidR="00CE56BD">
        <w:t xml:space="preserve">schäfts aus. </w:t>
      </w:r>
      <w:r w:rsidR="00CE56BD" w:rsidRPr="00F31070">
        <w:t xml:space="preserve">Mit allen unseren Initiativen und Projekten </w:t>
      </w:r>
      <w:r w:rsidR="00CE56BD">
        <w:t xml:space="preserve">streben </w:t>
      </w:r>
      <w:r w:rsidR="00CE56BD" w:rsidRPr="00F31070">
        <w:t xml:space="preserve">wir </w:t>
      </w:r>
      <w:r w:rsidR="00CE56BD">
        <w:t>bis 2023 eine Steigerung des K</w:t>
      </w:r>
      <w:r w:rsidR="00CE56BD" w:rsidRPr="00F31070">
        <w:t>o</w:t>
      </w:r>
      <w:r w:rsidR="00CE56BD" w:rsidRPr="00F31070">
        <w:t>n</w:t>
      </w:r>
      <w:r w:rsidR="00CE56BD" w:rsidRPr="00F31070">
        <w:t>zernumsatz</w:t>
      </w:r>
      <w:r w:rsidR="00CE56BD">
        <w:t>es</w:t>
      </w:r>
      <w:r w:rsidR="00CE56BD" w:rsidRPr="00F31070">
        <w:t xml:space="preserve"> auf rund 1,</w:t>
      </w:r>
      <w:r w:rsidR="00CE56BD">
        <w:t>5</w:t>
      </w:r>
      <w:r w:rsidR="00CE56BD" w:rsidRPr="00F31070">
        <w:t xml:space="preserve"> Mrd. € mit einer EBIT-Marge </w:t>
      </w:r>
      <w:r w:rsidR="00CE56BD">
        <w:t>zwischen 7 % und</w:t>
      </w:r>
      <w:r w:rsidR="00CE56BD" w:rsidRPr="00F31070">
        <w:t xml:space="preserve"> 10 % </w:t>
      </w:r>
      <w:r w:rsidR="00CE56BD">
        <w:t xml:space="preserve">an. </w:t>
      </w:r>
      <w:r w:rsidR="00CE56BD" w:rsidRPr="00F31070">
        <w:rPr>
          <w:color w:val="000000"/>
        </w:rPr>
        <w:t xml:space="preserve">Zur Umsatz- und Ergebnissteigerung sollen alle drei Segmente beitragen. </w:t>
      </w:r>
      <w:r w:rsidR="00CE56BD" w:rsidRPr="00F31070">
        <w:rPr>
          <w:bCs/>
        </w:rPr>
        <w:t xml:space="preserve">Neben einer </w:t>
      </w:r>
      <w:r w:rsidR="00CE56BD" w:rsidRPr="00F31070">
        <w:rPr>
          <w:color w:val="000000"/>
        </w:rPr>
        <w:t>Dividendenquote von 15 % bis 35 % des Konzernergebnisses sind eine Eigenkapitalquote von über 45 %, ein Net Working Capital-Zielkorridor zwischen 20 % und 25 % des Umsatzes und ein Service-Umsatzanteil von 30 % weitere Zielgrößen.</w:t>
      </w:r>
      <w:r w:rsidRPr="00A44634">
        <w:t>“</w:t>
      </w:r>
    </w:p>
    <w:p w:rsidR="00C1069D" w:rsidRDefault="00C1069D" w:rsidP="00A44634">
      <w:pPr>
        <w:spacing w:after="240"/>
      </w:pPr>
    </w:p>
    <w:p w:rsidR="00BC4F56" w:rsidRPr="00A44634" w:rsidRDefault="00A44634" w:rsidP="00BC4F56">
      <w:pPr>
        <w:pStyle w:val="berschrift4"/>
        <w:rPr>
          <w:lang w:val="de-DE"/>
        </w:rPr>
      </w:pPr>
      <w:r w:rsidRPr="00A44634">
        <w:rPr>
          <w:lang w:val="de-DE"/>
        </w:rPr>
        <w:t>Foto 1:</w:t>
      </w:r>
    </w:p>
    <w:p w:rsidR="006B2D44" w:rsidRPr="00A44634" w:rsidRDefault="00BD7EEE" w:rsidP="00BC4F56">
      <w:pPr>
        <w:spacing w:after="240"/>
      </w:pPr>
      <w:r>
        <w:rPr>
          <w:rFonts w:cstheme="minorHAnsi"/>
        </w:rPr>
        <w:t>Das umfassende</w:t>
      </w:r>
      <w:r w:rsidRPr="00571998">
        <w:rPr>
          <w:rFonts w:cstheme="minorHAnsi"/>
        </w:rPr>
        <w:t xml:space="preserve"> Angebot an klassischen und neuen, datenbasierten Services</w:t>
      </w:r>
      <w:r>
        <w:rPr>
          <w:rFonts w:cstheme="minorHAnsi"/>
        </w:rPr>
        <w:t xml:space="preserve"> </w:t>
      </w:r>
      <w:r w:rsidR="007334F4">
        <w:rPr>
          <w:rFonts w:cstheme="minorHAnsi"/>
        </w:rPr>
        <w:t>trug zusammen mit dem</w:t>
      </w:r>
      <w:r>
        <w:rPr>
          <w:rFonts w:cstheme="minorHAnsi"/>
        </w:rPr>
        <w:t xml:space="preserve"> Digitalisierungskonzept Koenig &amp; Bauer 4.0 </w:t>
      </w:r>
      <w:r w:rsidR="00077BFF">
        <w:rPr>
          <w:rFonts w:cstheme="minorHAnsi"/>
        </w:rPr>
        <w:t>zum zweistelligen Anstieg des Auftragseingangs bei</w:t>
      </w:r>
    </w:p>
    <w:p w:rsidR="00A44634" w:rsidRPr="00A44634" w:rsidRDefault="00A44634" w:rsidP="00A44634">
      <w:pPr>
        <w:pStyle w:val="berschrift4"/>
        <w:rPr>
          <w:lang w:val="de-DE"/>
        </w:rPr>
      </w:pPr>
      <w:r w:rsidRPr="00A44634">
        <w:rPr>
          <w:lang w:val="de-DE"/>
        </w:rPr>
        <w:t>Foto</w:t>
      </w:r>
      <w:r>
        <w:rPr>
          <w:lang w:val="de-DE"/>
        </w:rPr>
        <w:t xml:space="preserve"> 2:</w:t>
      </w:r>
    </w:p>
    <w:p w:rsidR="00A44634" w:rsidRDefault="00D80630" w:rsidP="00A44634">
      <w:pPr>
        <w:spacing w:after="240"/>
      </w:pPr>
      <w:r>
        <w:t>Einen zusätzlichen Auftragsschub brachte die sehr erfolgreiche Messe Print China Mitte April</w:t>
      </w:r>
    </w:p>
    <w:p w:rsidR="008C6097" w:rsidRDefault="008C6097" w:rsidP="00A44634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lastRenderedPageBreak/>
        <w:t>Ansprechpartner für die Presse</w:t>
      </w:r>
      <w:r>
        <w:br/>
      </w:r>
      <w:r w:rsidR="00A44634">
        <w:t>Koenig &amp; Bauer AG</w:t>
      </w:r>
      <w:r>
        <w:br/>
      </w:r>
      <w:r w:rsidR="00A44634">
        <w:t>Dr. Bernd Heusinger</w:t>
      </w:r>
      <w:r w:rsidR="00A44634">
        <w:br/>
        <w:t>T +49 931 909-4835</w:t>
      </w:r>
      <w:r>
        <w:br/>
        <w:t xml:space="preserve">M </w:t>
      </w:r>
      <w:hyperlink r:id="rId9" w:history="1">
        <w:r w:rsidR="00A44634" w:rsidRPr="00C5391E">
          <w:rPr>
            <w:rStyle w:val="Hyperlink"/>
          </w:rPr>
          <w:t>bernd.heusinger@koenig-bauer.com</w:t>
        </w:r>
      </w:hyperlink>
    </w:p>
    <w:p w:rsidR="006B2D44" w:rsidRDefault="006B2D44" w:rsidP="00584EAD">
      <w:pPr>
        <w:spacing w:after="240"/>
      </w:pPr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t>Über Koenig &amp; Bauer</w:t>
      </w:r>
    </w:p>
    <w:p w:rsidR="00A44634" w:rsidRPr="00A44634" w:rsidRDefault="00A44634" w:rsidP="00D05BF0">
      <w:pPr>
        <w:spacing w:after="240"/>
        <w:ind w:right="139"/>
      </w:pPr>
      <w:r w:rsidRPr="00A44634">
        <w:t>Mit über 1,2 Mrd. € Jahresumsatz und 5.700 Beschäftigten ist di</w:t>
      </w:r>
      <w:r w:rsidR="004B5DBB">
        <w:t>e Koenig &amp; Bauer-Gruppe ein ku</w:t>
      </w:r>
      <w:r w:rsidR="004B5DBB">
        <w:t>n</w:t>
      </w:r>
      <w:r w:rsidRPr="00A44634">
        <w:t>denorientierter Partner der internationalen Druckindustrie. Im Banknotendruck und in wachsenden Märkten des Verpackungsdrucks ist der Lösungsanbieter weltweiter Markt- und Technologieführer. Innovation und technischer Fortschritt prägen von Beginn an die ü</w:t>
      </w:r>
      <w:r w:rsidR="004B5DBB">
        <w:t>ber 200-jährige Unternehmen</w:t>
      </w:r>
      <w:r w:rsidR="004B5DBB">
        <w:t>s</w:t>
      </w:r>
      <w:r w:rsidR="004B5DBB">
        <w:t>ent</w:t>
      </w:r>
      <w:r w:rsidRPr="00A44634">
        <w:t>wicklung. Die konsequent auf die Kundenanforderungen zugeschnittenen Hightech-Maschinen und -Anlagen ermöglichen hocheffiziente Druck-, Veredelungs- und Weiterverarbeitungsprozesse. Die Servicedienstleistungen umfassen eine breite Palette an kundenorientierten Angeboten bis hin zur vernetzten Druckerei. Mit einer starken Bilanz und Finanzkraft ist Koenig &amp;</w:t>
      </w:r>
      <w:r w:rsidR="00D05BF0">
        <w:t xml:space="preserve"> Bauer auf profitablem und nach</w:t>
      </w:r>
      <w:r w:rsidRPr="00A44634">
        <w:t>haltigem Wachstumskurs.</w:t>
      </w:r>
    </w:p>
    <w:p w:rsidR="00A44634" w:rsidRPr="00A44634" w:rsidRDefault="00A44634" w:rsidP="00A44634">
      <w:pPr>
        <w:spacing w:after="240"/>
      </w:pPr>
      <w:r w:rsidRPr="00A44634">
        <w:t>Weitere Informationen unter www.koenig-bauer.com</w:t>
      </w:r>
    </w:p>
    <w:p w:rsidR="00A44634" w:rsidRPr="00A44634" w:rsidRDefault="00A44634" w:rsidP="00A44634">
      <w:pPr>
        <w:spacing w:after="240"/>
      </w:pPr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t>Wichtiger Hinweis:</w:t>
      </w:r>
    </w:p>
    <w:p w:rsidR="00A44634" w:rsidRDefault="00A44634" w:rsidP="008B6066">
      <w:pPr>
        <w:spacing w:after="240"/>
        <w:ind w:right="139"/>
      </w:pPr>
      <w:r w:rsidRPr="00A44634">
        <w:t>Diese Presseinformation enthält in die Zukunft gerichtete Aussagen, die auf fundierten Annahmen und Hochrechnungen der Unternehmensleitung der Koenig &amp; Bauer AG beruhen. Auch wenn die Unternehmensleitung der Ansicht ist, dass diese Annahmen und Schätzungen zutreffend sind, kö</w:t>
      </w:r>
      <w:r w:rsidRPr="00A44634">
        <w:t>n</w:t>
      </w:r>
      <w:r w:rsidRPr="00A44634">
        <w:t>nen die künftige tatsächliche Entwicklung und die künftigen tatsächlichen Ergebnisse davon au</w:t>
      </w:r>
      <w:r w:rsidRPr="00A44634">
        <w:t>f</w:t>
      </w:r>
      <w:r w:rsidRPr="00A44634">
        <w:t>grund vielfältiger, vom Unternehmen nicht beeinflussbarer Faktoren abweichen. Zu diesen Faktoren können bei</w:t>
      </w:r>
      <w:r w:rsidR="00D05BF0">
        <w:t>spiels</w:t>
      </w:r>
      <w:r w:rsidRPr="00A44634">
        <w:t>weise die Veränderung der Wirtschaftslage, der Wechselkurse sowie Veränderu</w:t>
      </w:r>
      <w:r w:rsidRPr="00A44634">
        <w:t>n</w:t>
      </w:r>
      <w:r w:rsidRPr="00A44634">
        <w:t xml:space="preserve">gen innerhalb der grafischen Branche gehören. </w:t>
      </w:r>
      <w:r>
        <w:t>Der Ausblick beinhaltet keine bedeutsamen Portf</w:t>
      </w:r>
      <w:r>
        <w:t>o</w:t>
      </w:r>
      <w:r>
        <w:t xml:space="preserve">lioeffekte und </w:t>
      </w:r>
      <w:r w:rsidRPr="00A44634">
        <w:t>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Pressei</w:t>
      </w:r>
      <w:r w:rsidRPr="00A44634">
        <w:t>n</w:t>
      </w:r>
      <w:r w:rsidRPr="00A44634">
        <w:t>formation enthaltenen Zahlen und Aussagen identisch sein werden.</w:t>
      </w:r>
      <w:r>
        <w:br/>
      </w:r>
      <w:r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D05BF0">
            <w:pPr>
              <w:spacing w:after="240"/>
            </w:pPr>
            <w:r>
              <w:lastRenderedPageBreak/>
              <w:t>Koenig &amp; Bauer</w:t>
            </w:r>
            <w:r w:rsidR="00D05BF0">
              <w:t>-</w:t>
            </w:r>
            <w:r>
              <w:t>Gruppe</w:t>
            </w:r>
          </w:p>
        </w:tc>
        <w:tc>
          <w:tcPr>
            <w:tcW w:w="1871" w:type="dxa"/>
          </w:tcPr>
          <w:p w:rsidR="00A44634" w:rsidRDefault="00A44634" w:rsidP="003603A1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31.</w:t>
            </w:r>
            <w:r w:rsidR="00FB2412">
              <w:t>03</w:t>
            </w:r>
            <w:r>
              <w:t>.201</w:t>
            </w:r>
            <w:r w:rsidR="00FB2412">
              <w:t>8</w:t>
            </w:r>
            <w:r>
              <w:br/>
              <w:t xml:space="preserve">in Mio. </w:t>
            </w:r>
            <w:r w:rsidR="003603A1">
              <w:t>€</w:t>
            </w:r>
          </w:p>
        </w:tc>
        <w:tc>
          <w:tcPr>
            <w:tcW w:w="1871" w:type="dxa"/>
          </w:tcPr>
          <w:p w:rsidR="00A44634" w:rsidRDefault="00A44634" w:rsidP="003603A1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31.</w:t>
            </w:r>
            <w:r w:rsidR="00FB2412">
              <w:t>03</w:t>
            </w:r>
            <w:r>
              <w:t>.201</w:t>
            </w:r>
            <w:r w:rsidR="00FB2412">
              <w:t>9</w:t>
            </w:r>
            <w:r>
              <w:br/>
              <w:t xml:space="preserve">in Mio. </w:t>
            </w:r>
            <w:r w:rsidR="003603A1">
              <w:t>€</w:t>
            </w:r>
          </w:p>
        </w:tc>
        <w:tc>
          <w:tcPr>
            <w:tcW w:w="1871" w:type="dxa"/>
          </w:tcPr>
          <w:p w:rsidR="00A44634" w:rsidRDefault="00A44634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Veränderung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Umsatz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Pr="006B2D4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</w:rPr>
              <w:t>217,3</w:t>
            </w:r>
            <w:r w:rsidR="006B2D44" w:rsidRPr="006B2D44">
              <w:rPr>
                <w:rStyle w:val="Fett"/>
              </w:rPr>
              <w:br/>
            </w:r>
            <w:r>
              <w:rPr>
                <w:rStyle w:val="Fett"/>
                <w:b w:val="0"/>
              </w:rPr>
              <w:t>111,0</w:t>
            </w:r>
            <w:r w:rsidR="006B2D44" w:rsidRPr="00A15613">
              <w:rPr>
                <w:rStyle w:val="Fett"/>
                <w:b w:val="0"/>
              </w:rPr>
              <w:br/>
            </w:r>
            <w:r>
              <w:rPr>
                <w:rStyle w:val="Fett"/>
                <w:b w:val="0"/>
              </w:rPr>
              <w:t>32,5</w:t>
            </w:r>
            <w:r w:rsidR="006B2D44" w:rsidRPr="006B2D44">
              <w:rPr>
                <w:rStyle w:val="Fett"/>
                <w:b w:val="0"/>
              </w:rPr>
              <w:br/>
            </w:r>
            <w:r>
              <w:rPr>
                <w:rStyle w:val="Fett"/>
                <w:b w:val="0"/>
              </w:rPr>
              <w:t>76,8</w:t>
            </w:r>
            <w:r w:rsidR="006B2D44" w:rsidRPr="006B2D44">
              <w:rPr>
                <w:rStyle w:val="Fett"/>
                <w:b w:val="0"/>
              </w:rPr>
              <w:br/>
              <w:t>-</w:t>
            </w:r>
            <w:r>
              <w:rPr>
                <w:rStyle w:val="Fett"/>
                <w:b w:val="0"/>
              </w:rPr>
              <w:t>3,0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230,7</w:t>
            </w:r>
            <w:r w:rsidR="006B2D44">
              <w:br/>
            </w:r>
            <w:r>
              <w:t>113,0</w:t>
            </w:r>
            <w:r w:rsidR="006B2D44">
              <w:br/>
            </w:r>
            <w:r>
              <w:t>32,4</w:t>
            </w:r>
            <w:r w:rsidR="006B2D44">
              <w:br/>
            </w:r>
            <w:r>
              <w:t>92,8</w:t>
            </w:r>
            <w:r w:rsidR="006B2D44">
              <w:br/>
              <w:t>-</w:t>
            </w:r>
            <w:r>
              <w:t>7,5</w:t>
            </w:r>
          </w:p>
        </w:tc>
        <w:tc>
          <w:tcPr>
            <w:tcW w:w="1871" w:type="dxa"/>
          </w:tcPr>
          <w:p w:rsidR="00A44634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613">
              <w:rPr>
                <w:b/>
              </w:rPr>
              <w:t xml:space="preserve">+ </w:t>
            </w:r>
            <w:r w:rsidR="00F16843">
              <w:rPr>
                <w:b/>
              </w:rPr>
              <w:t>6</w:t>
            </w:r>
            <w:r w:rsidRPr="00A15613">
              <w:rPr>
                <w:b/>
              </w:rPr>
              <w:t>,</w:t>
            </w:r>
            <w:r w:rsidR="00F16843">
              <w:rPr>
                <w:b/>
              </w:rPr>
              <w:t>2</w:t>
            </w:r>
            <w:r w:rsidRPr="00A15613">
              <w:rPr>
                <w:b/>
              </w:rPr>
              <w:t xml:space="preserve"> %</w:t>
            </w:r>
            <w:r>
              <w:br/>
            </w:r>
            <w:r w:rsidR="00F16843">
              <w:t>+</w:t>
            </w:r>
            <w:r>
              <w:t xml:space="preserve"> 1,</w:t>
            </w:r>
            <w:r w:rsidR="00F16843">
              <w:t>8</w:t>
            </w:r>
            <w:r>
              <w:t xml:space="preserve"> %</w:t>
            </w:r>
            <w:r>
              <w:br/>
              <w:t xml:space="preserve">- </w:t>
            </w:r>
            <w:r w:rsidR="00F16843">
              <w:t>0</w:t>
            </w:r>
            <w:r>
              <w:t>,3 %</w:t>
            </w:r>
            <w:r>
              <w:br/>
              <w:t xml:space="preserve">+ </w:t>
            </w:r>
            <w:r w:rsidR="00F16843">
              <w:t>20</w:t>
            </w:r>
            <w:r>
              <w:t>,8 %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Auftragseingang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250,9</w:t>
            </w:r>
            <w:r w:rsidR="006B2D44">
              <w:br/>
            </w:r>
            <w:r>
              <w:t>154,3</w:t>
            </w:r>
            <w:r w:rsidR="006B2D44">
              <w:br/>
            </w:r>
            <w:r>
              <w:t>45,2</w:t>
            </w:r>
            <w:r w:rsidR="006B2D44">
              <w:br/>
            </w:r>
            <w:r>
              <w:t>58,1</w:t>
            </w:r>
            <w:r w:rsidR="006B2D44">
              <w:br/>
              <w:t>-</w:t>
            </w:r>
            <w:r>
              <w:t>6,7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276,4</w:t>
            </w:r>
            <w:r w:rsidR="00A15613">
              <w:br/>
            </w:r>
            <w:r>
              <w:t>173,5</w:t>
            </w:r>
            <w:r w:rsidR="00A15613">
              <w:br/>
            </w:r>
            <w:r>
              <w:t>31,9</w:t>
            </w:r>
            <w:r w:rsidR="00A15613">
              <w:br/>
            </w:r>
            <w:r>
              <w:t>80,0</w:t>
            </w:r>
            <w:r w:rsidR="00A15613">
              <w:br/>
              <w:t>-</w:t>
            </w:r>
            <w:r>
              <w:t>9</w:t>
            </w:r>
            <w:r w:rsidR="00A15613">
              <w:t>,0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+</w:t>
            </w:r>
            <w:r w:rsidR="00A15613" w:rsidRPr="00A15613">
              <w:rPr>
                <w:rStyle w:val="Fett"/>
              </w:rPr>
              <w:t xml:space="preserve"> </w:t>
            </w:r>
            <w:r>
              <w:rPr>
                <w:rStyle w:val="Fett"/>
              </w:rPr>
              <w:t>10</w:t>
            </w:r>
            <w:r w:rsidR="00A15613" w:rsidRPr="00A15613">
              <w:rPr>
                <w:rStyle w:val="Fett"/>
              </w:rPr>
              <w:t>,</w:t>
            </w:r>
            <w:r>
              <w:rPr>
                <w:rStyle w:val="Fett"/>
              </w:rPr>
              <w:t>2</w:t>
            </w:r>
            <w:r w:rsidR="00A15613" w:rsidRPr="00A15613">
              <w:rPr>
                <w:rStyle w:val="Fett"/>
              </w:rPr>
              <w:t xml:space="preserve"> %</w:t>
            </w:r>
            <w:r w:rsidR="00A15613">
              <w:br/>
            </w:r>
            <w:r>
              <w:t>+</w:t>
            </w:r>
            <w:r w:rsidR="00A15613">
              <w:t xml:space="preserve"> </w:t>
            </w:r>
            <w:r>
              <w:t>12</w:t>
            </w:r>
            <w:r w:rsidR="00A15613">
              <w:t>,</w:t>
            </w:r>
            <w:r>
              <w:t>4</w:t>
            </w:r>
            <w:r w:rsidR="00A15613">
              <w:t xml:space="preserve"> %</w:t>
            </w:r>
            <w:r w:rsidR="00A15613">
              <w:br/>
            </w:r>
            <w:r>
              <w:t>-</w:t>
            </w:r>
            <w:r w:rsidR="00A15613">
              <w:t xml:space="preserve"> 2</w:t>
            </w:r>
            <w:r>
              <w:t>9</w:t>
            </w:r>
            <w:r w:rsidR="00A15613">
              <w:t>,</w:t>
            </w:r>
            <w:r>
              <w:t>4</w:t>
            </w:r>
            <w:r w:rsidR="00A15613">
              <w:t xml:space="preserve"> %</w:t>
            </w:r>
            <w:r w:rsidR="00A15613">
              <w:br/>
            </w:r>
            <w:r>
              <w:t>+</w:t>
            </w:r>
            <w:r w:rsidR="00A15613">
              <w:t xml:space="preserve"> </w:t>
            </w:r>
            <w:r>
              <w:t>37</w:t>
            </w:r>
            <w:r w:rsidR="00A15613">
              <w:t>,</w:t>
            </w:r>
            <w:r>
              <w:t>7</w:t>
            </w:r>
            <w:r w:rsidR="00A15613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Auftragsbestand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648,5</w:t>
            </w:r>
            <w:r w:rsidR="006B2D44">
              <w:br/>
            </w:r>
            <w:r>
              <w:t>274,9</w:t>
            </w:r>
            <w:r w:rsidR="006B2D44">
              <w:br/>
            </w:r>
            <w:r>
              <w:t>75,2</w:t>
            </w:r>
            <w:r w:rsidR="006B2D44">
              <w:br/>
            </w:r>
            <w:r>
              <w:t>312,2</w:t>
            </w:r>
            <w:r w:rsidR="006B2D44">
              <w:br/>
              <w:t>-1</w:t>
            </w:r>
            <w:r>
              <w:t>3</w:t>
            </w:r>
            <w:r w:rsidR="006B2D44">
              <w:t>,8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656,6</w:t>
            </w:r>
            <w:r w:rsidR="006B2D44">
              <w:br/>
            </w:r>
            <w:r>
              <w:t>250,5</w:t>
            </w:r>
            <w:r w:rsidR="00A15613">
              <w:br/>
            </w:r>
            <w:r>
              <w:t>85</w:t>
            </w:r>
            <w:r w:rsidR="00A15613">
              <w:t>,4</w:t>
            </w:r>
            <w:r w:rsidR="00A15613">
              <w:br/>
            </w:r>
            <w:r>
              <w:t>331,7</w:t>
            </w:r>
            <w:r w:rsidR="00A15613">
              <w:br/>
              <w:t>-11,</w:t>
            </w:r>
            <w:r>
              <w:t>0</w:t>
            </w:r>
          </w:p>
        </w:tc>
        <w:tc>
          <w:tcPr>
            <w:tcW w:w="1871" w:type="dxa"/>
          </w:tcPr>
          <w:p w:rsidR="00A44634" w:rsidRDefault="00A1561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D76">
              <w:rPr>
                <w:rStyle w:val="Fett"/>
              </w:rPr>
              <w:t xml:space="preserve">+ </w:t>
            </w:r>
            <w:r w:rsidR="00F16843">
              <w:rPr>
                <w:rStyle w:val="Fett"/>
              </w:rPr>
              <w:t>1</w:t>
            </w:r>
            <w:r w:rsidRPr="001F5D76">
              <w:rPr>
                <w:rStyle w:val="Fett"/>
              </w:rPr>
              <w:t>,</w:t>
            </w:r>
            <w:r w:rsidR="00F16843">
              <w:rPr>
                <w:rStyle w:val="Fett"/>
              </w:rPr>
              <w:t>2</w:t>
            </w:r>
            <w:r w:rsidRPr="001F5D76">
              <w:rPr>
                <w:rStyle w:val="Fett"/>
              </w:rPr>
              <w:t xml:space="preserve"> %</w:t>
            </w:r>
            <w:r>
              <w:br/>
              <w:t xml:space="preserve">- </w:t>
            </w:r>
            <w:r w:rsidR="00F16843">
              <w:t>8</w:t>
            </w:r>
            <w:r>
              <w:t>,</w:t>
            </w:r>
            <w:r w:rsidR="00F16843">
              <w:t>9</w:t>
            </w:r>
            <w:r>
              <w:t xml:space="preserve"> %</w:t>
            </w:r>
            <w:r>
              <w:br/>
              <w:t xml:space="preserve">+ </w:t>
            </w:r>
            <w:r w:rsidR="00F16843">
              <w:t>13</w:t>
            </w:r>
            <w:r>
              <w:t>,</w:t>
            </w:r>
            <w:r w:rsidR="00F16843">
              <w:t>6</w:t>
            </w:r>
            <w:r>
              <w:t xml:space="preserve"> %</w:t>
            </w:r>
            <w:r>
              <w:br/>
              <w:t>+ 6,</w:t>
            </w:r>
            <w:r w:rsidR="00F16843">
              <w:t>2</w:t>
            </w:r>
            <w:r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EBIT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-1,9</w:t>
            </w:r>
            <w:r w:rsidR="006B2D44">
              <w:br/>
            </w:r>
            <w:r>
              <w:t>0,4</w:t>
            </w:r>
            <w:r w:rsidR="006B2D44">
              <w:br/>
            </w:r>
            <w:r>
              <w:t>-4,5</w:t>
            </w:r>
            <w:r w:rsidR="006B2D44">
              <w:br/>
            </w:r>
            <w:r>
              <w:t>3,8</w:t>
            </w:r>
            <w:r w:rsidR="006B2D44">
              <w:br/>
              <w:t>-</w:t>
            </w:r>
            <w:r>
              <w:t>1</w:t>
            </w:r>
            <w:r w:rsidR="006B2D44">
              <w:t>,</w:t>
            </w:r>
            <w:r>
              <w:t>6</w:t>
            </w:r>
          </w:p>
        </w:tc>
        <w:tc>
          <w:tcPr>
            <w:tcW w:w="1871" w:type="dxa"/>
          </w:tcPr>
          <w:p w:rsidR="00A44634" w:rsidRDefault="00F16843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-2,8</w:t>
            </w:r>
            <w:r w:rsidR="006B2D44">
              <w:br/>
            </w:r>
            <w:r>
              <w:t>-3,1</w:t>
            </w:r>
            <w:r w:rsidR="006B2D44">
              <w:br/>
              <w:t>-</w:t>
            </w:r>
            <w:r>
              <w:t>5,6</w:t>
            </w:r>
            <w:r w:rsidR="006B2D44">
              <w:br/>
            </w:r>
            <w:r>
              <w:t>2,0</w:t>
            </w:r>
            <w:r w:rsidR="006B2D44">
              <w:br/>
            </w:r>
            <w:r>
              <w:t>3,9</w:t>
            </w:r>
          </w:p>
        </w:tc>
        <w:tc>
          <w:tcPr>
            <w:tcW w:w="1871" w:type="dxa"/>
          </w:tcPr>
          <w:p w:rsidR="00A44634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Ergebnis vor Steuern (EBT)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-2,9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-4,1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Konzernergebnis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-2,3</w:t>
            </w:r>
          </w:p>
        </w:tc>
        <w:tc>
          <w:tcPr>
            <w:tcW w:w="1871" w:type="dxa"/>
          </w:tcPr>
          <w:p w:rsidR="00A44634" w:rsidRPr="00A15613" w:rsidRDefault="00F16843" w:rsidP="00CC57C9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-4,9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Ergebnis je Aktie in €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-0,15</w:t>
            </w:r>
          </w:p>
        </w:tc>
        <w:tc>
          <w:tcPr>
            <w:tcW w:w="1871" w:type="dxa"/>
          </w:tcPr>
          <w:p w:rsidR="00A44634" w:rsidRPr="00A15613" w:rsidRDefault="00F16843" w:rsidP="00CC57C9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-0,30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Cashflow aus betrieblicher</w:t>
            </w:r>
            <w:r>
              <w:br/>
              <w:t>Geschäftstätigkeit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-30,6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Bilanzsumme</w:t>
            </w:r>
            <w:r w:rsidR="006E3618" w:rsidRPr="00EA4506">
              <w:rPr>
                <w:b w:val="0"/>
              </w:rPr>
              <w:t xml:space="preserve"> </w:t>
            </w:r>
            <w:r w:rsidR="006E3618">
              <w:rPr>
                <w:b w:val="0"/>
              </w:rPr>
              <w:t>(Vorjahr</w:t>
            </w:r>
            <w:r w:rsidR="006E3618" w:rsidRPr="006E3618">
              <w:rPr>
                <w:b w:val="0"/>
              </w:rPr>
              <w:t>: 31.12.)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1.1</w:t>
            </w:r>
            <w:r w:rsidR="00F16843">
              <w:rPr>
                <w:b/>
              </w:rPr>
              <w:t>78,3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1.17</w:t>
            </w:r>
            <w:r w:rsidR="00F16843">
              <w:rPr>
                <w:b/>
              </w:rPr>
              <w:t>5</w:t>
            </w:r>
            <w:r w:rsidRPr="00A15613">
              <w:rPr>
                <w:b/>
              </w:rPr>
              <w:t>,</w:t>
            </w:r>
            <w:r w:rsidR="00F16843">
              <w:rPr>
                <w:b/>
              </w:rPr>
              <w:t>8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Eigenkapital</w:t>
            </w:r>
            <w:r w:rsidR="006E3618" w:rsidRPr="00EA4506">
              <w:rPr>
                <w:b w:val="0"/>
              </w:rPr>
              <w:t xml:space="preserve"> </w:t>
            </w:r>
            <w:r w:rsidR="006E3618">
              <w:rPr>
                <w:b w:val="0"/>
              </w:rPr>
              <w:t>(Vorjahr</w:t>
            </w:r>
            <w:r w:rsidR="006E3618" w:rsidRPr="006E3618">
              <w:rPr>
                <w:b w:val="0"/>
              </w:rPr>
              <w:t>: 31.12.)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 w:rsidR="00F16843">
              <w:rPr>
                <w:b/>
              </w:rPr>
              <w:t>41,4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6E3618" w:rsidP="00F16843">
            <w:pPr>
              <w:spacing w:after="240"/>
            </w:pPr>
            <w:r>
              <w:t>Mitarbeiter</w:t>
            </w:r>
            <w:r w:rsidR="00A44634">
              <w:br/>
            </w:r>
            <w:r w:rsidR="00A44634" w:rsidRPr="00A44634">
              <w:rPr>
                <w:b w:val="0"/>
              </w:rPr>
              <w:t>davon Auszubildende/Praktika</w:t>
            </w:r>
            <w:r w:rsidR="004B5DBB">
              <w:rPr>
                <w:b w:val="0"/>
              </w:rPr>
              <w:t>n</w:t>
            </w:r>
            <w:r w:rsidR="00A44634" w:rsidRPr="00A44634">
              <w:rPr>
                <w:b w:val="0"/>
              </w:rPr>
              <w:t>ten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</w:t>
            </w:r>
            <w:r w:rsidR="00F16843">
              <w:rPr>
                <w:b/>
              </w:rPr>
              <w:t>604</w:t>
            </w:r>
            <w:r w:rsidRPr="00A15613">
              <w:rPr>
                <w:b/>
              </w:rPr>
              <w:br/>
            </w:r>
            <w:r w:rsidR="00F16843">
              <w:t>271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5.7</w:t>
            </w:r>
            <w:r w:rsidR="00F16843">
              <w:rPr>
                <w:b/>
              </w:rPr>
              <w:t>06</w:t>
            </w:r>
            <w:r w:rsidRPr="00A15613">
              <w:rPr>
                <w:b/>
              </w:rPr>
              <w:br/>
            </w:r>
            <w:r w:rsidR="00F16843">
              <w:t>270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C73CA" w:rsidRPr="00A44634" w:rsidRDefault="00EC73CA" w:rsidP="00A44634">
      <w:pPr>
        <w:spacing w:after="240"/>
      </w:pPr>
    </w:p>
    <w:sectPr w:rsidR="00EC73CA" w:rsidRPr="00A44634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EE" w:rsidRDefault="00BD7EEE" w:rsidP="00647A4F">
      <w:pPr>
        <w:spacing w:after="240"/>
      </w:pPr>
      <w:r>
        <w:separator/>
      </w:r>
    </w:p>
    <w:p w:rsidR="00BD7EEE" w:rsidRDefault="00BD7EEE" w:rsidP="00647A4F">
      <w:pPr>
        <w:spacing w:after="240"/>
      </w:pPr>
    </w:p>
  </w:endnote>
  <w:endnote w:type="continuationSeparator" w:id="0">
    <w:p w:rsidR="00BD7EEE" w:rsidRDefault="00BD7EEE" w:rsidP="00647A4F">
      <w:pPr>
        <w:spacing w:after="240"/>
      </w:pPr>
      <w:r>
        <w:continuationSeparator/>
      </w:r>
    </w:p>
    <w:p w:rsidR="00BD7EEE" w:rsidRDefault="00BD7EEE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Default="00BD7EEE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Pr="00F82B5C" w:rsidRDefault="006C637E" w:rsidP="00182744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34F4">
          <w:t>10</w:t>
        </w:r>
        <w:r>
          <w:t xml:space="preserve">,2 % höherer Auftragseingang bei </w:t>
        </w:r>
        <w:r w:rsidR="007334F4">
          <w:t>Koenig &amp; Bauer</w:t>
        </w:r>
      </w:sdtContent>
    </w:sdt>
    <w:r w:rsidR="00BD7EEE">
      <w:t xml:space="preserve"> | </w:t>
    </w:r>
    <w:r w:rsidR="00BD7EEE">
      <w:fldChar w:fldCharType="begin"/>
    </w:r>
    <w:r w:rsidR="00BD7EEE">
      <w:instrText xml:space="preserve"> PAGE </w:instrText>
    </w:r>
    <w:r w:rsidR="00BD7EEE">
      <w:fldChar w:fldCharType="separate"/>
    </w:r>
    <w:r>
      <w:t>1</w:t>
    </w:r>
    <w:r w:rsidR="00BD7EE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Default="006C637E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10,2 % höherer Auftragseingang bei Koenig &amp; Bauer</w:t>
        </w:r>
      </w:sdtContent>
    </w:sdt>
    <w:r w:rsidR="00BD7EEE">
      <w:t xml:space="preserve"> | </w:t>
    </w:r>
    <w:r w:rsidR="00BD7EEE">
      <w:fldChar w:fldCharType="begin"/>
    </w:r>
    <w:r w:rsidR="00BD7EEE">
      <w:instrText xml:space="preserve"> PAGE </w:instrText>
    </w:r>
    <w:r w:rsidR="00BD7EEE">
      <w:fldChar w:fldCharType="separate"/>
    </w:r>
    <w:r w:rsidR="00BD7EEE">
      <w:t>1</w:t>
    </w:r>
    <w:r w:rsidR="00BD7EE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EE" w:rsidRDefault="00BD7EEE" w:rsidP="00647A4F">
      <w:pPr>
        <w:spacing w:after="240"/>
      </w:pPr>
      <w:r>
        <w:separator/>
      </w:r>
    </w:p>
  </w:footnote>
  <w:footnote w:type="continuationSeparator" w:id="0">
    <w:p w:rsidR="00BD7EEE" w:rsidRDefault="00BD7EEE" w:rsidP="00647A4F">
      <w:pPr>
        <w:spacing w:after="240"/>
      </w:pPr>
      <w:r>
        <w:continuationSeparator/>
      </w:r>
    </w:p>
    <w:p w:rsidR="00BD7EEE" w:rsidRDefault="00BD7EEE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Default="00BD7EEE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Default="00BD7EEE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EE" w:rsidRPr="000B7CEC" w:rsidRDefault="00BD7EEE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77BFF"/>
    <w:rsid w:val="000A70ED"/>
    <w:rsid w:val="000B7CEC"/>
    <w:rsid w:val="000C49F7"/>
    <w:rsid w:val="000C511A"/>
    <w:rsid w:val="000C534C"/>
    <w:rsid w:val="000D1507"/>
    <w:rsid w:val="000E431A"/>
    <w:rsid w:val="00116A26"/>
    <w:rsid w:val="00133BCF"/>
    <w:rsid w:val="00163241"/>
    <w:rsid w:val="0016411F"/>
    <w:rsid w:val="0016774E"/>
    <w:rsid w:val="001807EE"/>
    <w:rsid w:val="00182744"/>
    <w:rsid w:val="001B5BAA"/>
    <w:rsid w:val="001B747C"/>
    <w:rsid w:val="001C394D"/>
    <w:rsid w:val="001E5ABB"/>
    <w:rsid w:val="001F5D76"/>
    <w:rsid w:val="00204EAE"/>
    <w:rsid w:val="0021638F"/>
    <w:rsid w:val="002175CB"/>
    <w:rsid w:val="0022027F"/>
    <w:rsid w:val="00262470"/>
    <w:rsid w:val="00265400"/>
    <w:rsid w:val="0027081D"/>
    <w:rsid w:val="00282128"/>
    <w:rsid w:val="002A5D4F"/>
    <w:rsid w:val="002B77B3"/>
    <w:rsid w:val="002C05E4"/>
    <w:rsid w:val="002E1AB6"/>
    <w:rsid w:val="002E3557"/>
    <w:rsid w:val="00317AD1"/>
    <w:rsid w:val="00324B88"/>
    <w:rsid w:val="00356744"/>
    <w:rsid w:val="003603A1"/>
    <w:rsid w:val="00382047"/>
    <w:rsid w:val="003929BD"/>
    <w:rsid w:val="003A0BCE"/>
    <w:rsid w:val="003B7A63"/>
    <w:rsid w:val="003D1D5D"/>
    <w:rsid w:val="00407116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B5DBB"/>
    <w:rsid w:val="004E33CC"/>
    <w:rsid w:val="004E6239"/>
    <w:rsid w:val="00522321"/>
    <w:rsid w:val="00524C68"/>
    <w:rsid w:val="00533745"/>
    <w:rsid w:val="0055123F"/>
    <w:rsid w:val="00563C4E"/>
    <w:rsid w:val="0057450D"/>
    <w:rsid w:val="00581FA3"/>
    <w:rsid w:val="00584EAD"/>
    <w:rsid w:val="005865F5"/>
    <w:rsid w:val="005A1925"/>
    <w:rsid w:val="005A281B"/>
    <w:rsid w:val="005B1FCC"/>
    <w:rsid w:val="005E1ABB"/>
    <w:rsid w:val="005E5705"/>
    <w:rsid w:val="005F3C60"/>
    <w:rsid w:val="005F53EE"/>
    <w:rsid w:val="00614D7E"/>
    <w:rsid w:val="0063340E"/>
    <w:rsid w:val="00647A4F"/>
    <w:rsid w:val="00673988"/>
    <w:rsid w:val="00677B21"/>
    <w:rsid w:val="00697DB1"/>
    <w:rsid w:val="006B2D44"/>
    <w:rsid w:val="006C637E"/>
    <w:rsid w:val="006E3618"/>
    <w:rsid w:val="00704DFC"/>
    <w:rsid w:val="00722296"/>
    <w:rsid w:val="007334F4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163"/>
    <w:rsid w:val="007E23ED"/>
    <w:rsid w:val="007F034C"/>
    <w:rsid w:val="00854099"/>
    <w:rsid w:val="00866F90"/>
    <w:rsid w:val="00886F29"/>
    <w:rsid w:val="008A14C6"/>
    <w:rsid w:val="008B6066"/>
    <w:rsid w:val="008C2BC0"/>
    <w:rsid w:val="008C5FFE"/>
    <w:rsid w:val="008C6097"/>
    <w:rsid w:val="009229D0"/>
    <w:rsid w:val="00953661"/>
    <w:rsid w:val="00975E61"/>
    <w:rsid w:val="009870F4"/>
    <w:rsid w:val="009B10BB"/>
    <w:rsid w:val="009E29CD"/>
    <w:rsid w:val="009E7CEF"/>
    <w:rsid w:val="00A10D03"/>
    <w:rsid w:val="00A112E7"/>
    <w:rsid w:val="00A15613"/>
    <w:rsid w:val="00A207E9"/>
    <w:rsid w:val="00A241F4"/>
    <w:rsid w:val="00A330C0"/>
    <w:rsid w:val="00A37572"/>
    <w:rsid w:val="00A44634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F4C5F"/>
    <w:rsid w:val="00B06C8C"/>
    <w:rsid w:val="00B51FA3"/>
    <w:rsid w:val="00B622F0"/>
    <w:rsid w:val="00B66B5F"/>
    <w:rsid w:val="00BA3329"/>
    <w:rsid w:val="00BC4F56"/>
    <w:rsid w:val="00BD7EEE"/>
    <w:rsid w:val="00BF5D04"/>
    <w:rsid w:val="00BF6AC1"/>
    <w:rsid w:val="00C0462C"/>
    <w:rsid w:val="00C06B94"/>
    <w:rsid w:val="00C1069D"/>
    <w:rsid w:val="00C275C9"/>
    <w:rsid w:val="00C66DA1"/>
    <w:rsid w:val="00C905B6"/>
    <w:rsid w:val="00C97C18"/>
    <w:rsid w:val="00CC57C9"/>
    <w:rsid w:val="00CD0A11"/>
    <w:rsid w:val="00CE1F7E"/>
    <w:rsid w:val="00CE56BD"/>
    <w:rsid w:val="00CE7598"/>
    <w:rsid w:val="00D05BF0"/>
    <w:rsid w:val="00D23C2E"/>
    <w:rsid w:val="00D37C08"/>
    <w:rsid w:val="00D430A8"/>
    <w:rsid w:val="00D52424"/>
    <w:rsid w:val="00D66283"/>
    <w:rsid w:val="00D70659"/>
    <w:rsid w:val="00D80630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9379C"/>
    <w:rsid w:val="00EA1A60"/>
    <w:rsid w:val="00EA4506"/>
    <w:rsid w:val="00EC73CA"/>
    <w:rsid w:val="00F01893"/>
    <w:rsid w:val="00F16843"/>
    <w:rsid w:val="00F43876"/>
    <w:rsid w:val="00F53973"/>
    <w:rsid w:val="00F5748A"/>
    <w:rsid w:val="00F63846"/>
    <w:rsid w:val="00F72EBD"/>
    <w:rsid w:val="00F82B5C"/>
    <w:rsid w:val="00F84F59"/>
    <w:rsid w:val="00FA2046"/>
    <w:rsid w:val="00FA5ACD"/>
    <w:rsid w:val="00FB2412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74D3-153D-4F25-8A48-C20C4AD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10,2 % höherer Auftragseingang im Koenig &amp; Bauer-Konzern</vt:lpstr>
    </vt:vector>
  </TitlesOfParts>
  <Company>Koenig &amp; Bauer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10,2 % höherer Auftragseingang bei Koenig &amp; Bauer</dc:title>
  <dc:creator>Bausenwein, Linda (ZM)</dc:creator>
  <dc:description>Optimiert für Word 2016</dc:description>
  <cp:lastModifiedBy>Heusinger, Bernd (VMV)</cp:lastModifiedBy>
  <cp:revision>16</cp:revision>
  <cp:lastPrinted>2019-04-30T11:21:00Z</cp:lastPrinted>
  <dcterms:created xsi:type="dcterms:W3CDTF">2019-04-25T16:13:00Z</dcterms:created>
  <dcterms:modified xsi:type="dcterms:W3CDTF">2019-05-02T13:43:00Z</dcterms:modified>
</cp:coreProperties>
</file>