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Koenig &amp; Bauer announces moderate price adjustment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spacing w:after="0" w:lineRule="auto"/>
        <w:ind w:left="340"/>
        <w:rPr>
          <w:u w:val="none"/>
        </w:rPr>
      </w:pPr>
      <w:r w:rsidDel="00000000" w:rsidR="00000000" w:rsidRPr="00000000">
        <w:rPr>
          <w:rtl w:val="0"/>
        </w:rPr>
        <w:t xml:space="preserve">Raw material costs for copper, plastics, additives sheet metal and wood increased </w:t>
      </w:r>
    </w:p>
    <w:p w:rsidR="00000000" w:rsidDel="00000000" w:rsidP="00000000" w:rsidRDefault="00000000" w:rsidRPr="00000000" w14:paraId="00000005">
      <w:pPr>
        <w:numPr>
          <w:ilvl w:val="0"/>
          <w:numId w:val="1"/>
        </w:numPr>
        <w:spacing w:after="0" w:lineRule="auto"/>
        <w:ind w:left="340"/>
        <w:rPr>
          <w:u w:val="none"/>
        </w:rPr>
      </w:pPr>
      <w:r w:rsidDel="00000000" w:rsidR="00000000" w:rsidRPr="00000000">
        <w:rPr>
          <w:rtl w:val="0"/>
        </w:rPr>
        <w:t xml:space="preserve">Moderate price adjustment for entire portfolio </w:t>
      </w:r>
    </w:p>
    <w:p w:rsidR="00000000" w:rsidDel="00000000" w:rsidP="00000000" w:rsidRDefault="00000000" w:rsidRPr="00000000" w14:paraId="00000006">
      <w:pPr>
        <w:pStyle w:val="Heading3"/>
        <w:rPr>
          <w:sz w:val="40"/>
          <w:szCs w:val="40"/>
        </w:rPr>
      </w:pPr>
      <w:bookmarkStart w:colFirst="0" w:colLast="0" w:name="_3znysh7" w:id="2"/>
      <w:bookmarkEnd w:id="2"/>
      <w:r w:rsidDel="00000000" w:rsidR="00000000" w:rsidRPr="00000000">
        <w:rPr>
          <w:rtl w:val="0"/>
        </w:rPr>
      </w:r>
    </w:p>
    <w:p w:rsidR="00000000" w:rsidDel="00000000" w:rsidP="00000000" w:rsidRDefault="00000000" w:rsidRPr="00000000" w14:paraId="00000007">
      <w:pPr>
        <w:spacing w:after="240" w:lineRule="auto"/>
        <w:rPr/>
      </w:pPr>
      <w:r w:rsidDel="00000000" w:rsidR="00000000" w:rsidRPr="00000000">
        <w:rPr>
          <w:rtl w:val="0"/>
        </w:rPr>
        <w:t xml:space="preserve">Würzburg, 27.05.2021</w:t>
      </w:r>
      <w:r w:rsidDel="00000000" w:rsidR="00000000" w:rsidRPr="00000000">
        <w:rPr>
          <w:rtl w:val="0"/>
        </w:rPr>
        <w:br w:type="textWrapping"/>
        <w:t xml:space="preserve">Koenig &amp; Bauer announces a moderate price adjustment for its entire product portfolio.</w:t>
      </w:r>
    </w:p>
    <w:p w:rsidR="00000000" w:rsidDel="00000000" w:rsidP="00000000" w:rsidRDefault="00000000" w:rsidRPr="00000000" w14:paraId="00000008">
      <w:pPr>
        <w:spacing w:after="240" w:lineRule="auto"/>
        <w:rPr/>
      </w:pPr>
      <w:r w:rsidDel="00000000" w:rsidR="00000000" w:rsidRPr="00000000">
        <w:rPr>
          <w:rtl w:val="0"/>
        </w:rPr>
        <w:t xml:space="preserve">The reduced availability of raw materials such as copper, plastics, additives, sheet metal and wood, and higher shipping and logistics costs require an adjustment in prices. Another reason is the global chip shortage, which is leading to reduced capacities and long lead times for industrial customers, including those outside the automotive sector. </w:t>
      </w:r>
    </w:p>
    <w:p w:rsidR="00000000" w:rsidDel="00000000" w:rsidP="00000000" w:rsidRDefault="00000000" w:rsidRPr="00000000" w14:paraId="00000009">
      <w:pPr>
        <w:spacing w:after="240" w:lineRule="auto"/>
        <w:rPr/>
      </w:pPr>
      <w:r w:rsidDel="00000000" w:rsidR="00000000" w:rsidRPr="00000000">
        <w:rPr>
          <w:rtl w:val="0"/>
        </w:rPr>
        <w:t xml:space="preserve">"The price adjustment comes in an environment of increasingly scarce resources and is a necessary step to enable us to continue offering our customers the quality, customised solutions and reliable service they expect from us," says Ralf Sammeck, Member of the Executive Board at Koenig &amp; Bauer.</w:t>
      </w:r>
    </w:p>
    <w:p w:rsidR="00000000" w:rsidDel="00000000" w:rsidP="00000000" w:rsidRDefault="00000000" w:rsidRPr="00000000" w14:paraId="0000000A">
      <w:pPr>
        <w:spacing w:after="240" w:lineRule="auto"/>
        <w:rPr/>
      </w:pPr>
      <w:r w:rsidDel="00000000" w:rsidR="00000000" w:rsidRPr="00000000">
        <w:rPr>
          <w:rtl w:val="0"/>
        </w:rPr>
        <w:t xml:space="preserve">"The global challenges facing the industry would have to be mastered together in order to maintain our innovative strength," Sammeck continues. </w:t>
      </w:r>
    </w:p>
    <w:p w:rsidR="00000000" w:rsidDel="00000000" w:rsidP="00000000" w:rsidRDefault="00000000" w:rsidRPr="00000000" w14:paraId="0000000B">
      <w:pPr>
        <w:spacing w:after="240" w:lineRule="auto"/>
        <w:rPr/>
      </w:pPr>
      <w:r w:rsidDel="00000000" w:rsidR="00000000" w:rsidRPr="00000000">
        <w:rPr>
          <w:rtl w:val="0"/>
        </w:rPr>
        <w:t xml:space="preserve">The innovative technology of Koenig &amp; Bauer's highly automated presses and their unique selling points in automation, makeready times and inline processes bring economic benefits to users and enhance their future viability. The moderate price increase enables further innovations and is thus an investment in the future for the industry. </w:t>
      </w:r>
    </w:p>
    <w:p w:rsidR="00000000" w:rsidDel="00000000" w:rsidP="00000000" w:rsidRDefault="00000000" w:rsidRPr="00000000" w14:paraId="0000000C">
      <w:pPr>
        <w:pStyle w:val="Heading4"/>
        <w:rPr/>
      </w:pPr>
      <w:bookmarkStart w:colFirst="0" w:colLast="0" w:name="_2et92p0" w:id="3"/>
      <w:bookmarkEnd w:id="3"/>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D">
      <w:pPr>
        <w:spacing w:after="240" w:lineRule="auto"/>
        <w:rPr/>
      </w:pPr>
      <w:r w:rsidDel="00000000" w:rsidR="00000000" w:rsidRPr="00000000">
        <w:rPr>
          <w:rtl w:val="0"/>
        </w:rPr>
        <w:t xml:space="preserve">Worldwide, prices for many industrial metals and electronics have risen rapidly. Even wood, which is needed for packaging for transport, is in short supply</w:t>
      </w:r>
      <w:r w:rsidDel="00000000" w:rsidR="00000000" w:rsidRPr="00000000">
        <w:rPr>
          <w:rtl w:val="0"/>
        </w:rPr>
      </w:r>
    </w:p>
    <w:p w:rsidR="00000000" w:rsidDel="00000000" w:rsidP="00000000" w:rsidRDefault="00000000" w:rsidRPr="00000000" w14:paraId="0000000E">
      <w:pPr>
        <w:spacing w:after="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4"/>
        <w:rPr/>
      </w:pPr>
      <w:bookmarkStart w:colFirst="0" w:colLast="0" w:name="_qdlecb9g5rs0" w:id="4"/>
      <w:bookmarkEnd w:id="4"/>
      <w:r w:rsidDel="00000000" w:rsidR="00000000" w:rsidRPr="00000000">
        <w:rPr>
          <w:rtl w:val="0"/>
        </w:rPr>
        <w:t xml:space="preserve">Contact person for the press</w:t>
      </w:r>
    </w:p>
    <w:p w:rsidR="00000000" w:rsidDel="00000000" w:rsidP="00000000" w:rsidRDefault="00000000" w:rsidRPr="00000000" w14:paraId="00000010">
      <w:pPr>
        <w:spacing w:line="276" w:lineRule="auto"/>
        <w:rPr/>
      </w:pPr>
      <w:r w:rsidDel="00000000" w:rsidR="00000000" w:rsidRPr="00000000">
        <w:rPr>
          <w:rtl w:val="0"/>
        </w:rPr>
        <w:t xml:space="preserve">Koenig &amp; Bauer</w:t>
        <w:br w:type="textWrapping"/>
        <w:t xml:space="preserve">Dagmar Ringel</w:t>
        <w:br w:type="textWrapping"/>
        <w:t xml:space="preserve">T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1">
      <w:pPr>
        <w:pStyle w:val="Heading4"/>
        <w:rPr/>
      </w:pPr>
      <w:bookmarkStart w:colFirst="0" w:colLast="0" w:name="_e7815bcypn9p" w:id="5"/>
      <w:bookmarkEnd w:id="5"/>
      <w:r w:rsidDel="00000000" w:rsidR="00000000" w:rsidRPr="00000000">
        <w:rPr>
          <w:rtl w:val="0"/>
        </w:rPr>
      </w:r>
    </w:p>
    <w:p w:rsidR="00000000" w:rsidDel="00000000" w:rsidP="00000000" w:rsidRDefault="00000000" w:rsidRPr="00000000" w14:paraId="00000012">
      <w:pPr>
        <w:pStyle w:val="Heading4"/>
        <w:rPr/>
      </w:pPr>
      <w:bookmarkStart w:colFirst="0" w:colLast="0" w:name="_cjucgttagu6q" w:id="6"/>
      <w:bookmarkEnd w:id="6"/>
      <w:r w:rsidDel="00000000" w:rsidR="00000000" w:rsidRPr="00000000">
        <w:rPr>
          <w:rtl w:val="0"/>
        </w:rPr>
        <w:t xml:space="preserve">About Koenig &amp; Bauer</w:t>
      </w:r>
    </w:p>
    <w:p w:rsidR="00000000" w:rsidDel="00000000" w:rsidP="00000000" w:rsidRDefault="00000000" w:rsidRPr="00000000" w14:paraId="00000013">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announces moderate price adjustment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