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Koenig &amp; Bauer takes a significant step towards more sustainability</w:t>
      </w:r>
    </w:p>
    <w:p w:rsidR="00000000" w:rsidDel="00000000" w:rsidP="00000000" w:rsidRDefault="00000000" w:rsidRPr="00000000" w14:paraId="00000003">
      <w:pPr>
        <w:pStyle w:val="Subtitle"/>
        <w:rPr/>
      </w:pPr>
      <w:r w:rsidDel="00000000" w:rsidR="00000000" w:rsidRPr="00000000">
        <w:rPr>
          <w:rtl w:val="0"/>
        </w:rPr>
        <w:t xml:space="preserve">Press manufacturer remains committed to the target of carbon-neutral production by 2030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Koenig &amp; Bauer assumes responsibility for more climate protection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Focus on energy autonomy and an improved eco-balance using electricity from the company’s own green sources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First photovoltaic array at the Würzburg location with an annual yield of around 200,000 kWh</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Further PV and solar thermal installations to be commissioned shortly</w:t>
      </w:r>
    </w:p>
    <w:p w:rsidR="00000000" w:rsidDel="00000000" w:rsidP="00000000" w:rsidRDefault="00000000" w:rsidRPr="00000000" w14:paraId="00000009">
      <w:pPr>
        <w:rPr/>
      </w:pPr>
      <w:r w:rsidDel="00000000" w:rsidR="00000000" w:rsidRPr="00000000">
        <w:rPr>
          <w:rtl w:val="0"/>
        </w:rPr>
        <w:br w:type="textWrapping"/>
        <w:t xml:space="preserve">Würzburg, 14.10.2022</w:t>
        <w:br w:type="textWrapping"/>
        <w:t xml:space="preserve">With expansion of its own green energy sources at the company headquarters in Würzburg, Koenig &amp; Bauer is continuing the implementation of its sustainability initiative. The target set within the framework of the corporate strategy ‘Exceeding Print’ is for the group’s production facilities to achieve full carbon neutrality by 2030. The massive investments in photovoltaic arrays will allow Koenig &amp; Bauer to cover a proportion of its power requirements on the basis of sustainable on-site generation. Besides contributing to climate protection, this also aims to boost the level of energy autonomy. The first array is already in use, and more photovoltaic and solar thermal installations are set to follow in the months to come.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Positive impact on the global carbon footprint</w:t>
      </w:r>
    </w:p>
    <w:p w:rsidR="00000000" w:rsidDel="00000000" w:rsidP="00000000" w:rsidRDefault="00000000" w:rsidRPr="00000000" w14:paraId="0000000B">
      <w:pPr>
        <w:rPr/>
      </w:pPr>
      <w:r w:rsidDel="00000000" w:rsidR="00000000" w:rsidRPr="00000000">
        <w:rPr>
          <w:rtl w:val="0"/>
        </w:rPr>
        <w:t xml:space="preserve">At the beginning of October 2022, Koenig &amp; Bauer commissioned a photovoltaic array for on-site power generation on the roof of the Customer Technology Centre at group headquarters in Würzburg. An annual yield of around 200,000 kWh of electricity is now available for direct consumption at the Würzburg facility with immediate effect. Based on the specific greenhouse gas emissions for the German power mix overall, the photovoltaic array will benefit the environment by saving more than 80,000 kilograms of CO</w:t>
      </w:r>
      <w:r w:rsidDel="00000000" w:rsidR="00000000" w:rsidRPr="00000000">
        <w:rPr>
          <w:vertAlign w:val="subscript"/>
          <w:rtl w:val="0"/>
        </w:rPr>
        <w:t xml:space="preserve">2</w:t>
      </w:r>
      <w:r w:rsidDel="00000000" w:rsidR="00000000" w:rsidRPr="00000000">
        <w:rPr>
          <w:rtl w:val="0"/>
        </w:rPr>
        <w:t xml:space="preserve"> emissions per year.</w:t>
      </w:r>
    </w:p>
    <w:p w:rsidR="00000000" w:rsidDel="00000000" w:rsidP="00000000" w:rsidRDefault="00000000" w:rsidRPr="00000000" w14:paraId="0000000C">
      <w:pPr>
        <w:pStyle w:val="Heading3"/>
        <w:rPr/>
      </w:pPr>
      <w:bookmarkStart w:colFirst="0" w:colLast="0" w:name="_heading=h.3znysh7" w:id="3"/>
      <w:bookmarkEnd w:id="3"/>
      <w:r w:rsidDel="00000000" w:rsidR="00000000" w:rsidRPr="00000000">
        <w:rPr>
          <w:rtl w:val="0"/>
        </w:rPr>
        <w:t xml:space="preserve">Additional investments in solar thermal and PV installations planned</w:t>
      </w:r>
    </w:p>
    <w:p w:rsidR="00000000" w:rsidDel="00000000" w:rsidP="00000000" w:rsidRDefault="00000000" w:rsidRPr="00000000" w14:paraId="0000000D">
      <w:pPr>
        <w:rPr/>
      </w:pPr>
      <w:r w:rsidDel="00000000" w:rsidR="00000000" w:rsidRPr="00000000">
        <w:rPr>
          <w:rtl w:val="0"/>
        </w:rPr>
        <w:t xml:space="preserve">Already in summer 2022, a new hot water system that uses solar thermal modules was commissioned to supply Koenig &amp; Bauer’s factory vocational school in Würzburg. More solar water heating systems are currently being installed at the canteen in Würzburg and in other common areas used by employees. In addition to two more photovoltaic arrays that are scheduled for completion at the Würzburg facility this year, concrete plans are also being drawn up to expand green power generation by using photovoltaic installations at the other Koenig &amp; Bauer group locations.</w:t>
      </w:r>
    </w:p>
    <w:p w:rsidR="00000000" w:rsidDel="00000000" w:rsidP="00000000" w:rsidRDefault="00000000" w:rsidRPr="00000000" w14:paraId="0000000E">
      <w:pPr>
        <w:pStyle w:val="Heading4"/>
        <w:rPr/>
      </w:pPr>
      <w:bookmarkStart w:colFirst="0" w:colLast="0" w:name="_heading=h.2et92p0" w:id="4"/>
      <w:bookmarkEnd w:id="4"/>
      <w:r w:rsidDel="00000000" w:rsidR="00000000" w:rsidRPr="00000000">
        <w:rPr>
          <w:rtl w:val="0"/>
        </w:rPr>
        <w:t xml:space="preserve">Photo:</w:t>
      </w:r>
    </w:p>
    <w:p w:rsidR="00000000" w:rsidDel="00000000" w:rsidP="00000000" w:rsidRDefault="00000000" w:rsidRPr="00000000" w14:paraId="0000000F">
      <w:pPr>
        <w:rPr/>
      </w:pPr>
      <w:r w:rsidDel="00000000" w:rsidR="00000000" w:rsidRPr="00000000">
        <w:rPr>
          <w:rtl w:val="0"/>
        </w:rPr>
        <w:t xml:space="preserve">A new photovoltaic array on the roof of the Koenig &amp; Bauer Customer Technology Centre produces around 200,000 kWh of electricity per year – it is the first of several installations that Koenig &amp; Bauer intends to use to contribute to climate protection, while at the same time boosting its own energy autonomy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2">
      <w:pPr>
        <w:rPr/>
      </w:pPr>
      <w:r w:rsidDel="00000000" w:rsidR="00000000" w:rsidRPr="00000000">
        <w:rPr>
          <w:rtl w:val="0"/>
        </w:rPr>
        <w:t xml:space="preserve">Koenig &amp; Bauer AG</w:t>
        <w:br w:type="textWrapping"/>
        <w:t xml:space="preserve">Dagmar Ringel</w:t>
        <w:br w:type="textWrapping"/>
        <w:t xml:space="preserve">+49 931 909-6756</w:t>
        <w:br w:type="textWrapping"/>
      </w:r>
      <w:hyperlink r:id="rId7">
        <w:r w:rsidDel="00000000" w:rsidR="00000000" w:rsidRPr="00000000">
          <w:rPr>
            <w:color w:val="1155cc"/>
            <w:u w:val="single"/>
            <w:rtl w:val="0"/>
          </w:rPr>
          <w:t xml:space="preserve">dagmar.ringel@koenig-bauer.com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5">
      <w:pPr>
        <w:shd w:fill="ffffff" w:val="clear"/>
        <w:spacing w:line="250" w:lineRule="auto"/>
        <w:rPr>
          <w:sz w:val="18"/>
          <w:szCs w:val="18"/>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conversion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sz w:val="14"/>
              <w:szCs w:val="14"/>
              <w:rtl w:val="0"/>
            </w:rPr>
            <w:t xml:space="preserve">Koenig &amp; Bauer takes a significant step towards more sustainability </w:t>
          </w:r>
          <w:r w:rsidDel="00000000" w:rsidR="00000000" w:rsidRPr="00000000">
            <w:rPr>
              <w:color w:val="000000"/>
              <w:sz w:val="14"/>
              <w:szCs w:val="14"/>
              <w:rtl w:val="0"/>
            </w:rPr>
            <w:t xml:space="preserve">|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qFormat w:val="1"/>
  </w:style>
  <w:style w:type="paragraph" w:styleId="berschrift1">
    <w:name w:val="heading 1"/>
    <w:basedOn w:val="Standard"/>
    <w:next w:val="Standard"/>
    <w:uiPriority w:val="9"/>
    <w:qFormat w:val="1"/>
    <w:pPr>
      <w:keepNext w:val="1"/>
      <w:keepLines w:val="1"/>
      <w:spacing w:before="480" w:line="240" w:lineRule="auto"/>
      <w:outlineLvl w:val="0"/>
    </w:pPr>
    <w:rPr>
      <w:b w:val="1"/>
      <w:color w:val="002355"/>
      <w:sz w:val="40"/>
      <w:szCs w:val="40"/>
    </w:rPr>
  </w:style>
  <w:style w:type="paragraph" w:styleId="berschrift2">
    <w:name w:val="heading 2"/>
    <w:basedOn w:val="Standard"/>
    <w:next w:val="Standard"/>
    <w:uiPriority w:val="9"/>
    <w:unhideWhenUsed w:val="1"/>
    <w:qFormat w:val="1"/>
    <w:pPr>
      <w:keepNext w:val="1"/>
      <w:keepLines w:val="1"/>
      <w:spacing w:after="0"/>
      <w:outlineLvl w:val="1"/>
    </w:pPr>
    <w:rPr>
      <w:b w:val="1"/>
      <w:color w:val="002355"/>
      <w:sz w:val="28"/>
      <w:szCs w:val="28"/>
    </w:rPr>
  </w:style>
  <w:style w:type="paragraph" w:styleId="berschrift3">
    <w:name w:val="heading 3"/>
    <w:basedOn w:val="Standard"/>
    <w:next w:val="Standard"/>
    <w:uiPriority w:val="9"/>
    <w:unhideWhenUsed w:val="1"/>
    <w:qFormat w:val="1"/>
    <w:pPr>
      <w:keepNext w:val="1"/>
      <w:keepLines w:val="1"/>
      <w:spacing w:after="0"/>
      <w:outlineLvl w:val="2"/>
    </w:pPr>
    <w:rPr>
      <w:b w:val="1"/>
      <w:color w:val="002355"/>
    </w:rPr>
  </w:style>
  <w:style w:type="paragraph" w:styleId="berschrift4">
    <w:name w:val="heading 4"/>
    <w:basedOn w:val="Standard"/>
    <w:next w:val="Standard"/>
    <w:uiPriority w:val="9"/>
    <w:unhideWhenUsed w:val="1"/>
    <w:qFormat w:val="1"/>
    <w:pPr>
      <w:keepNext w:val="1"/>
      <w:keepLines w:val="1"/>
      <w:spacing w:after="0"/>
      <w:outlineLvl w:val="3"/>
    </w:pPr>
    <w:rPr>
      <w:b w:val="1"/>
      <w:color w:val="000000"/>
    </w:rPr>
  </w:style>
  <w:style w:type="paragraph" w:styleId="berschrift5">
    <w:name w:val="heading 5"/>
    <w:basedOn w:val="Standard"/>
    <w:next w:val="Standard"/>
    <w:uiPriority w:val="9"/>
    <w:semiHidden w:val="1"/>
    <w:unhideWhenUsed w:val="1"/>
    <w:qFormat w:val="1"/>
    <w:pPr>
      <w:keepNext w:val="1"/>
      <w:keepLines w:val="1"/>
      <w:spacing w:after="0"/>
      <w:outlineLvl w:val="4"/>
    </w:pPr>
    <w:rPr>
      <w:b w:val="1"/>
      <w:color w:val="000000"/>
    </w:rPr>
  </w:style>
  <w:style w:type="paragraph" w:styleId="berschrift6">
    <w:name w:val="heading 6"/>
    <w:basedOn w:val="Standard"/>
    <w:next w:val="Standard"/>
    <w:uiPriority w:val="9"/>
    <w:semiHidden w:val="1"/>
    <w:unhideWhenUsed w:val="1"/>
    <w:qFormat w:val="1"/>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tabs>
        <w:tab w:val="left" w:pos="850"/>
      </w:tabs>
      <w:spacing w:after="600" w:before="840" w:line="240" w:lineRule="auto"/>
    </w:pPr>
    <w:rPr>
      <w:b w:val="1"/>
      <w:color w:val="002355"/>
      <w:sz w:val="60"/>
      <w:szCs w:val="60"/>
    </w:rPr>
  </w:style>
  <w:style w:type="paragraph" w:styleId="Untertitel">
    <w:name w:val="Subtitle"/>
    <w:basedOn w:val="Standard"/>
    <w:next w:val="Standard"/>
    <w:uiPriority w:val="11"/>
    <w:qFormat w:val="1"/>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gmar.ringel@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BbNN1GxpZ9C+l76ZZHIgMwwWA==">AMUW2mUxLP80GGRdSCtwyE8IoqXNWXQhNxAk+88LoUGWVszPEpDFp1gvD9rCDA8yB/FCnJ1FRU27qCfShqvBmWCn4IRA6/w66WnEHRAwdB+ejzN+eWYa16bIgztNELP/2nWc+GhAPuo5jXWM0+iBOGoQnIYyYdfXA5KyPTojfS3+Gcjqw384UoCgta/N0KS/HgmiozkglgREJvjrnAh16DjyD2G8PrDfgQ==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2022-10-12T09:09:00Z</dcterms:created>
</cp:coreProperties>
</file>