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tabs>
          <w:tab w:val="left" w:leader="none" w:pos="850.3937007874015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Press Release </w:t>
      </w:r>
    </w:p>
    <w:p w:rsidR="00000000" w:rsidDel="00000000" w:rsidP="00000000" w:rsidRDefault="00000000" w:rsidRPr="00000000" w14:paraId="00000002">
      <w:pPr>
        <w:pStyle w:val="Heading1"/>
        <w:pageBreakBefore w:val="0"/>
        <w:tabs>
          <w:tab w:val="left" w:leader="none" w:pos="850.3937007874015"/>
        </w:tabs>
        <w:rPr/>
      </w:pPr>
      <w:bookmarkStart w:colFirst="0" w:colLast="0" w:name="_37q07cp91crq" w:id="1"/>
      <w:bookmarkEnd w:id="1"/>
      <w:r w:rsidDel="00000000" w:rsidR="00000000" w:rsidRPr="00000000">
        <w:rPr>
          <w:rtl w:val="0"/>
        </w:rPr>
        <w:t xml:space="preserve">Innovative Security and Authentication Solutions: Koenig &amp; Bauer Plans Development Partnership with Graphic Security Systems Corporation</w:t>
      </w:r>
    </w:p>
    <w:p w:rsidR="00000000" w:rsidDel="00000000" w:rsidP="00000000" w:rsidRDefault="00000000" w:rsidRPr="00000000" w14:paraId="00000003">
      <w:pPr>
        <w:pStyle w:val="Subtitle"/>
        <w:pageBreakBefore w:val="0"/>
        <w:rPr/>
      </w:pPr>
      <w:bookmarkStart w:colFirst="0" w:colLast="0" w:name="_ig3dbjvaveo" w:id="2"/>
      <w:bookmarkEnd w:id="2"/>
      <w:r w:rsidDel="00000000" w:rsidR="00000000" w:rsidRPr="00000000">
        <w:rPr>
          <w:rtl w:val="0"/>
        </w:rPr>
        <w:t xml:space="preserve">Planned Partnership for the development of anti-counterfeit technologies and for the protection of valuable documents and products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0" w:right="0" w:hanging="340"/>
        <w:jc w:val="left"/>
      </w:pPr>
      <w:r w:rsidDel="00000000" w:rsidR="00000000" w:rsidRPr="00000000">
        <w:rPr>
          <w:rtl w:val="0"/>
        </w:rPr>
        <w:t xml:space="preserve">Development of advanced anti-counterfeiting solutions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lineRule="auto"/>
        <w:ind w:left="340"/>
        <w:rPr>
          <w:u w:val="none"/>
        </w:rPr>
      </w:pPr>
      <w:r w:rsidDel="00000000" w:rsidR="00000000" w:rsidRPr="00000000">
        <w:rPr>
          <w:rtl w:val="0"/>
        </w:rPr>
        <w:t xml:space="preserve">Combination of steganographic technologies with printing presses and quality control capabilities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lineRule="auto"/>
        <w:ind w:left="340"/>
        <w:rPr>
          <w:u w:val="none"/>
        </w:rPr>
      </w:pPr>
      <w:r w:rsidDel="00000000" w:rsidR="00000000" w:rsidRPr="00000000">
        <w:rPr>
          <w:rtl w:val="0"/>
        </w:rPr>
        <w:t xml:space="preserve">Strengthening the portfolio in the field of authentication solutions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pageBreakBefore w:val="0"/>
        <w:rPr>
          <w:sz w:val="40"/>
          <w:szCs w:val="40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Würzburg</w:t>
      </w:r>
      <w:r w:rsidDel="00000000" w:rsidR="00000000" w:rsidRPr="00000000">
        <w:rPr>
          <w:rtl w:val="0"/>
        </w:rPr>
        <w:t xml:space="preserve">, 22.04.2024</w:t>
        <w:br w:type="textWrapping"/>
        <w:t xml:space="preserve">Koenig &amp; Bauer and Graphic Security Systems Corporation (GSSC) intend to jointly develop and deliver advanced anti-counterfeiting solutions to customers worldwide. Leveraging the combined expertise of both organizations, this partnership marks a significant step forward in the fight against counterfeiters and the protection of valuable documents and products.</w:t>
      </w:r>
    </w:p>
    <w:p w:rsidR="00000000" w:rsidDel="00000000" w:rsidP="00000000" w:rsidRDefault="00000000" w:rsidRPr="00000000" w14:paraId="0000000A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Steganography, the art of hiding data within an ordinary design or artwork to evade detection, replication, and modification lies at the heart of modern anti-counterfeiting efforts. This technique, increasingly endorsed in today's climate, ensures the secure protection of high-security printed documents and products.</w:t>
      </w:r>
    </w:p>
    <w:p w:rsidR="00000000" w:rsidDel="00000000" w:rsidP="00000000" w:rsidRDefault="00000000" w:rsidRPr="00000000" w14:paraId="0000000B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By combining the steganographic technologies of GSSC with the printing press and quality control capabilities of Koenig &amp; Bauer, a dynamic and unparalleled level of protection, detection and authentication is achieved. The cost-effectiveness of implementing steganography further enhances its appeal to governments and brands worldwide. The technology itself can be integrated in almost any available printing process from Koenig &amp; Bauer including the digital portfolio.</w:t>
      </w:r>
    </w:p>
    <w:p w:rsidR="00000000" w:rsidDel="00000000" w:rsidP="00000000" w:rsidRDefault="00000000" w:rsidRPr="00000000" w14:paraId="0000000C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The GSSC team with </w:t>
      </w:r>
      <w:r w:rsidDel="00000000" w:rsidR="00000000" w:rsidRPr="00000000">
        <w:rPr>
          <w:rtl w:val="0"/>
        </w:rPr>
        <w:t xml:space="preserve">Dominic Painter, Vice President of Global Sales and Business Development, and Cary Quinn, Technology Manager, and the Koenig &amp; Bauer team with Julian Schubert, Vice President of Data, Vision and Authentication Solutions, and Marc Hunsänger, Technology Manager</w:t>
      </w:r>
      <w:r w:rsidDel="00000000" w:rsidR="00000000" w:rsidRPr="00000000">
        <w:rPr>
          <w:rtl w:val="0"/>
        </w:rPr>
        <w:t xml:space="preserve">, share a vision to industrialize these concepts, paving the way for new solutions in the security printing industry. The launch of the Koenig &amp; Bauer STEGANO technology family represents the initial efforts of both organizations to introduce these concepts to the brand and high-security printing industries. Koenig &amp; Bauer STEGANO is well suited to be printed with a wide variety of different Koenig &amp; Bauer presses like Flexo, Offset and Digital.</w:t>
      </w:r>
    </w:p>
    <w:p w:rsidR="00000000" w:rsidDel="00000000" w:rsidP="00000000" w:rsidRDefault="00000000" w:rsidRPr="00000000" w14:paraId="0000000D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The partnership with GSSC strengthens Koenig &amp; Bauer's portfolio in the field of authentication solutions of different technology types for various endmarkets. GSSC is a pioneering anti-counterfeiting technology company renowned for providing state-of-the-art steganographic document security and brand protection solutions. With a focus on custom-tailored solutions that seamlessly integrate into existing design and security infrastructure, GSSC has been at the forefront of innovation in this field.</w:t>
      </w:r>
    </w:p>
    <w:p w:rsidR="00000000" w:rsidDel="00000000" w:rsidP="00000000" w:rsidRDefault="00000000" w:rsidRPr="00000000" w14:paraId="0000000E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Furthermore Koenig &amp; Bauer develops and sells Machine Vision System for Inline, Offline and Online Quality Control Systems for various printing presses and offers a wide variety of authentication solutions.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GSSC and Koenig &amp; Bauer will be showcasing their collaborative efforts at the drupa 2024 from May 28 to June 6, offering attendees a firsthand look at the future of security and authentication solutions </w:t>
      </w:r>
      <w:r w:rsidDel="00000000" w:rsidR="00000000" w:rsidRPr="00000000">
        <w:rPr>
          <w:rtl w:val="0"/>
        </w:rPr>
        <w:t xml:space="preserve"> across a wide range of Koenig &amp; Bauer endmarkets.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4"/>
        <w:pageBreakBefore w:val="0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Photo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2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(Left to right) Marc Hunsänger, Technology Manager, and Julian Schubert, Vice President of Data, Vision and Authentication Solutions (both Koenig &amp; Bauer), seal the partnership with Dominic Painter, Vice President of Global Sales and Business Development, and Cary Quin, Technology Manager (both GSSC).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4"/>
        <w:pageBreakBefore w:val="0"/>
        <w:rPr/>
      </w:pPr>
      <w:bookmarkStart w:colFirst="0" w:colLast="0" w:name="_qdlecb9g5rs0" w:id="5"/>
      <w:bookmarkEnd w:id="5"/>
      <w:r w:rsidDel="00000000" w:rsidR="00000000" w:rsidRPr="00000000">
        <w:rPr>
          <w:rtl w:val="0"/>
        </w:rPr>
        <w:t xml:space="preserve">Contact person for the press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Koenig &amp; Bauer Banknote Solutions (DE) GmbH</w:t>
        <w:br w:type="textWrapping"/>
        <w:t xml:space="preserve">Julian Schubert</w:t>
        <w:br w:type="textWrapping"/>
        <w:t xml:space="preserve">+49 931 909 6458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julian.schubert@koenig-bauer.com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About Koenig &amp; Bauer</w:t>
      </w:r>
      <w:r w:rsidDel="00000000" w:rsidR="00000000" w:rsidRPr="00000000">
        <w:rPr>
          <w:rtl w:val="0"/>
        </w:rPr>
        <w:br w:type="textWrapping"/>
        <w:t xml:space="preserve">Koenig &amp; Bauer is a globally active printing press manufacturer headquartered in Würzburg (Germany). It supplies machines and software solutions covering the entire printing, finishing and converting process, with a particular focus on packaging. Machines from Koenig &amp; Bauer are capable of printing on practically all substrates – the portfolio ranges from banknotes to board, corrugated, film, metal and glass packaging, and includes book, display, coding, decor, magazine, advertising and newspaper printing. With a history extending back more than 200 years, Koenig &amp; Bauer is the oldest printing press manufacturer in the world and is today at home in virtually all printing processes. Together, the group companies count a total of around 5,700 employees. Koenig &amp; Bauer operates manufacturing plants at eleven locations in Europe, alongside a global sales and service network. The annual revenue in the 2023 financial year was around €1.3bn.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Further information can be found at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www.koenig-bauer.com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361" w:top="2381" w:left="1418" w:right="1418" w:header="1020.472440944882" w:footer="170.078740157480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781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000000" w:space="0" w:sz="0" w:val="nil"/>
        <w:insideV w:color="ffffff" w:space="0" w:sz="4" w:val="single"/>
      </w:tblBorders>
      <w:tblLayout w:type="fixed"/>
      <w:tblLook w:val="0400"/>
    </w:tblPr>
    <w:tblGrid>
      <w:gridCol w:w="2552"/>
      <w:gridCol w:w="4536"/>
      <w:gridCol w:w="2693"/>
      <w:tblGridChange w:id="0">
        <w:tblGrid>
          <w:gridCol w:w="2552"/>
          <w:gridCol w:w="4536"/>
          <w:gridCol w:w="2693"/>
        </w:tblGrid>
      </w:tblGridChange>
    </w:tblGrid>
    <w:tr>
      <w:trPr>
        <w:cantSplit w:val="0"/>
        <w:trHeight w:val="620" w:hRule="atLeast"/>
        <w:tblHeader w:val="0"/>
      </w:trPr>
      <w:tc>
        <w:tcPr/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40" w:before="0" w:line="28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40" w:before="0" w:line="28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40" w:before="0" w:line="288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left"/>
      <w:rPr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right"/>
      <w:rPr>
        <w:sz w:val="14"/>
        <w:szCs w:val="14"/>
      </w:rPr>
    </w:pPr>
    <w:r w:rsidDel="00000000" w:rsidR="00000000" w:rsidRPr="00000000">
      <w:rPr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60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bfbfbf" w:space="0" w:sz="4" w:val="single"/>
        <w:insideV w:color="ffffff" w:space="0" w:sz="4" w:val="single"/>
      </w:tblBorders>
      <w:tblLayout w:type="fixed"/>
      <w:tblLook w:val="0400"/>
    </w:tblPr>
    <w:tblGrid>
      <w:gridCol w:w="3600"/>
      <w:gridCol w:w="5460"/>
      <w:tblGridChange w:id="0">
        <w:tblGrid>
          <w:gridCol w:w="3600"/>
          <w:gridCol w:w="546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Koenig &amp; Bauer intends to collaborate with Graphic Security Systems Corporation</w:t>
          </w:r>
          <w:r w:rsidDel="00000000" w:rsidR="00000000" w:rsidRPr="00000000">
            <w:rPr>
              <w:sz w:val="14"/>
              <w:szCs w:val="14"/>
              <w:rtl w:val="0"/>
            </w:rPr>
            <w:t xml:space="preserve"> |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  <w:drawing>
        <wp:inline distB="0" distT="0" distL="0" distR="0">
          <wp:extent cx="2523600" cy="216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3600" cy="2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  <w:drawing>
        <wp:inline distB="0" distT="0" distL="0" distR="0">
          <wp:extent cx="2524721" cy="2160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4721" cy="2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cs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cs="Times New Roman" w:eastAsia="Times New Roman" w:hAnsi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cs="Times New Roman" w:eastAsia="Times New Roman" w:hAnsi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cs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cs="Times New Roman" w:eastAsia="Times New Roman" w:hAnsi="Times New Roman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cs="Times New Roman" w:eastAsia="Times New Roman" w:hAnsi="Times New Roman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cs="Times New Roman" w:eastAsia="Times New Roman" w:hAnsi="Times New Roman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"/>
      </w:rPr>
    </w:rPrDefault>
    <w:pPrDefault>
      <w:pPr>
        <w:spacing w:after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Arial" w:cs="Arial" w:eastAsia="Arial" w:hAnsi="Arial"/>
      <w:b w:val="1"/>
      <w:color w:val="00235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235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2355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lineRule="auto"/>
    </w:pPr>
    <w:rPr>
      <w:rFonts w:ascii="Arial" w:cs="Arial" w:eastAsia="Arial" w:hAnsi="Arial"/>
      <w:b w:val="1"/>
      <w:color w:val="00112a"/>
    </w:rPr>
  </w:style>
  <w:style w:type="paragraph" w:styleId="Title">
    <w:name w:val="Title"/>
    <w:basedOn w:val="Normal"/>
    <w:next w:val="Normal"/>
    <w:pPr>
      <w:pageBreakBefore w:val="0"/>
      <w:tabs>
        <w:tab w:val="left" w:leader="none" w:pos="850.3937007874015"/>
      </w:tabs>
      <w:spacing w:after="600" w:before="840" w:line="240" w:lineRule="auto"/>
    </w:pPr>
    <w:rPr>
      <w:b w:val="1"/>
      <w:color w:val="002355"/>
      <w:sz w:val="60"/>
      <w:szCs w:val="60"/>
    </w:rPr>
  </w:style>
  <w:style w:type="paragraph" w:styleId="Subtitle">
    <w:name w:val="Subtitle"/>
    <w:basedOn w:val="Normal"/>
    <w:next w:val="Normal"/>
    <w:pPr>
      <w:pageBreakBefore w:val="0"/>
      <w:spacing w:line="240" w:lineRule="auto"/>
    </w:pPr>
    <w:rPr>
      <w:color w:val="002355"/>
      <w:sz w:val="28"/>
      <w:szCs w:val="28"/>
    </w:rPr>
  </w:style>
  <w:style w:type="table" w:styleId="Table1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left w:w="0.0" w:type="dxa"/>
        <w:bottom w:w="28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left w:w="0.0" w:type="dxa"/>
        <w:bottom w:w="28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mailto:julian.schubert@koenig-bauer.com" TargetMode="External"/><Relationship Id="rId7" Type="http://schemas.openxmlformats.org/officeDocument/2006/relationships/hyperlink" Target="http://www.koenig-bauer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