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824" w:rsidRDefault="00C5550A">
      <w:pPr>
        <w:shd w:val="clear" w:color="auto" w:fill="FFFFFF"/>
        <w:spacing w:before="840" w:after="600" w:line="240" w:lineRule="auto"/>
        <w:rPr>
          <w:b/>
          <w:bCs/>
          <w:color w:val="002355"/>
          <w:sz w:val="60"/>
          <w:szCs w:val="60"/>
        </w:rPr>
      </w:pPr>
      <w:bookmarkStart w:id="0" w:name="_GoBack"/>
      <w:bookmarkEnd w:id="0"/>
      <w:r>
        <w:rPr>
          <w:b/>
          <w:bCs/>
          <w:color w:val="002355"/>
          <w:sz w:val="60"/>
          <w:szCs w:val="60"/>
        </w:rPr>
        <w:t>Presseinformation</w:t>
      </w:r>
    </w:p>
    <w:p w:rsidR="00DE6824" w:rsidRDefault="00C5550A">
      <w:pPr>
        <w:pStyle w:val="berschrift1"/>
        <w:shd w:val="clear" w:color="auto" w:fill="FFFFFF"/>
        <w:spacing w:before="240" w:after="240" w:line="240" w:lineRule="auto"/>
        <w:rPr>
          <w:b/>
          <w:bCs/>
          <w:color w:val="002355"/>
        </w:rPr>
      </w:pPr>
      <w:bookmarkStart w:id="1" w:name="_btaqza3fbzo" w:colFirst="0" w:colLast="0"/>
      <w:bookmarkEnd w:id="1"/>
      <w:r>
        <w:rPr>
          <w:b/>
          <w:bCs/>
          <w:color w:val="002355"/>
        </w:rPr>
        <w:t>Koenig &amp; Bauer erreicht Jahresziele 2025: Operatives EBIT mehr als verdoppelt und positiver Free Cashflow – Stabiler Geschäftsverlauf 2026 in volatilem Umfeld erwartet</w:t>
      </w:r>
    </w:p>
    <w:p w:rsidR="00DE6824" w:rsidRDefault="00DE6824">
      <w:pPr>
        <w:rPr>
          <w:sz w:val="20"/>
          <w:szCs w:val="20"/>
        </w:rPr>
      </w:pPr>
    </w:p>
    <w:p w:rsidR="00DE6824" w:rsidRDefault="00C5550A">
      <w:pPr>
        <w:numPr>
          <w:ilvl w:val="0"/>
          <w:numId w:val="1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Konzernumsatz auf 1.302,4 Mio. € (Vj.: 1.274,4 Mio. €) und Operatives EBIT auf 36,6 Mio. € (Vj.: 15,3 Mio. €) gesteigert – Punktlandung innerhalb der Prognose</w:t>
      </w:r>
    </w:p>
    <w:p w:rsidR="00DE6824" w:rsidRDefault="00C5550A">
      <w:pPr>
        <w:numPr>
          <w:ilvl w:val="0"/>
          <w:numId w:val="1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Reduzierte Jahresendabhängigkeit und starker Mittelzufluss in Q4-25 mit 69,2 Mio. € erzielt - Pos</w:t>
      </w:r>
      <w:r>
        <w:rPr>
          <w:sz w:val="20"/>
          <w:szCs w:val="20"/>
        </w:rPr>
        <w:t>itiver Free Cashflow von 7,3 Mio. € für das Geschäftsjahr 2025 erreicht</w:t>
      </w:r>
    </w:p>
    <w:p w:rsidR="00DE6824" w:rsidRDefault="00C5550A">
      <w:pPr>
        <w:numPr>
          <w:ilvl w:val="0"/>
          <w:numId w:val="1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Segment S&amp;T: Deutlicher Umsatzanstieg von +6,8 % auf 596,0 Mio. €; Auftragseingang mit 558,4 Mio. € erwartungsgemäß aufgrund der hohen Bestellungen der US-Bundesdruckerei unter Vorjahr</w:t>
      </w:r>
    </w:p>
    <w:p w:rsidR="00DE6824" w:rsidRDefault="00C5550A">
      <w:pPr>
        <w:numPr>
          <w:ilvl w:val="0"/>
          <w:numId w:val="1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 xml:space="preserve">Segment P&amp;P: Umsatzplus von +0,9 % auf 741,5 Mio. €; Auftragseingang mit 704,0 Mio. € nach starkem drupa-Vorjahr äußerst resilient </w:t>
      </w:r>
    </w:p>
    <w:p w:rsidR="00DE6824" w:rsidRDefault="00C5550A">
      <w:pPr>
        <w:numPr>
          <w:ilvl w:val="0"/>
          <w:numId w:val="1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Historisch hoher Auftragsbestand von 970,6 Mio. € (Vj.: 1.039,8 Mio. €) bildet solide Basis für das Geschäftsjahr 2026</w:t>
      </w:r>
    </w:p>
    <w:p w:rsidR="00DE6824" w:rsidRDefault="00C5550A">
      <w:pPr>
        <w:numPr>
          <w:ilvl w:val="0"/>
          <w:numId w:val="1"/>
        </w:num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Prog</w:t>
      </w:r>
      <w:r>
        <w:rPr>
          <w:sz w:val="20"/>
          <w:szCs w:val="20"/>
        </w:rPr>
        <w:t xml:space="preserve">nose 2026: Stabiler Geschäftsverlauf in volatilen Umfeld erwartet – Umstellung der Guidance auf das operative EBITDA </w:t>
      </w:r>
    </w:p>
    <w:p w:rsidR="00DE6824" w:rsidRDefault="00DE6824">
      <w:pPr>
        <w:shd w:val="clear" w:color="auto" w:fill="FFFFFF"/>
        <w:spacing w:before="240" w:after="240"/>
        <w:rPr>
          <w:b/>
          <w:bCs/>
          <w:sz w:val="20"/>
          <w:szCs w:val="20"/>
        </w:rPr>
      </w:pPr>
    </w:p>
    <w:p w:rsidR="00DE6824" w:rsidRDefault="00C5550A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Würzburg, 26.02.2026</w:t>
      </w:r>
    </w:p>
    <w:p w:rsidR="00DE6824" w:rsidRDefault="00C5550A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Die Koenig &amp; Bauer AG hat das Geschäftsjahr 2025 nach vorläufigen, noch nicht testierten Zahlen erfolgreich abgeschl</w:t>
      </w:r>
      <w:r>
        <w:rPr>
          <w:sz w:val="20"/>
          <w:szCs w:val="20"/>
        </w:rPr>
        <w:t>ossen. Trotz eines weiterhin schwachen makroökonomischen Umfelds und zunehmender handelspolitischer Unsicherheiten erzielte das Unternehmen eine Punktlandung seiner Prognose und konnte die operative Ertragskraft im Vergleich zum Vorjahr signifikant steiger</w:t>
      </w:r>
      <w:r>
        <w:rPr>
          <w:sz w:val="20"/>
          <w:szCs w:val="20"/>
        </w:rPr>
        <w:t>n.</w:t>
      </w:r>
    </w:p>
    <w:p w:rsidR="00DE6824" w:rsidRDefault="00C5550A">
      <w:pPr>
        <w:shd w:val="clear" w:color="auto" w:fill="FFFFFF"/>
        <w:spacing w:before="240" w:after="240"/>
        <w:rPr>
          <w:sz w:val="20"/>
          <w:szCs w:val="20"/>
        </w:rPr>
      </w:pPr>
      <w:r>
        <w:rPr>
          <w:b/>
          <w:bCs/>
          <w:color w:val="002355"/>
          <w:sz w:val="20"/>
          <w:szCs w:val="20"/>
        </w:rPr>
        <w:t xml:space="preserve">Punktlandung bei den Jahreszielen und signifikante EBIT-Steigerung durch Fokusprogramm </w:t>
      </w:r>
      <w:r>
        <w:rPr>
          <w:color w:val="002355"/>
          <w:sz w:val="20"/>
          <w:szCs w:val="20"/>
        </w:rPr>
        <w:t>„</w:t>
      </w:r>
      <w:r>
        <w:rPr>
          <w:b/>
          <w:bCs/>
          <w:color w:val="002355"/>
          <w:sz w:val="20"/>
          <w:szCs w:val="20"/>
        </w:rPr>
        <w:t>Spotlight”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Der Konzernumsatz verbesserte sich planmäßig um +2,2 % (leichtes Umsatzwachstum) auf 1.302,4 Mio. € (Vj.: 1.274,4 Mio. €). Beide Segmente trugen zum Umsat</w:t>
      </w:r>
      <w:r>
        <w:rPr>
          <w:sz w:val="20"/>
          <w:szCs w:val="20"/>
        </w:rPr>
        <w:t>zwachstum bei, wobei Special &amp; New Technologies (S&amp;T) mit einem deutlichen Zuwachs von +6,8 % auf 596,0 Mio. € (Vj.: 558,0 Mio. €) und Paper &amp; Packaging Sheetfed Systems (P&amp;P) mit +0,9 % auf 741,5 Mio. € (Vj.: 734,8 Mio. €) überzeugten.</w:t>
      </w:r>
    </w:p>
    <w:p w:rsidR="00DE6824" w:rsidRDefault="00C5550A">
      <w:pPr>
        <w:shd w:val="clear" w:color="auto" w:fill="FFFFFF"/>
        <w:spacing w:before="240" w:after="24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Das operative EBIT </w:t>
      </w:r>
      <w:r>
        <w:rPr>
          <w:sz w:val="20"/>
          <w:szCs w:val="20"/>
        </w:rPr>
        <w:t xml:space="preserve">erhöhte sich um +21,3 Mio. € auf 36,6 Mio. € (Vj.: 15,3 Mio. €). Damit erreichte das Unternehmen eine Punktlandung innerhalb der im November 2024 konkretisierten Prognose (untere Hälfte des Korridors von 35 bis 50 Mio. €). </w:t>
      </w:r>
    </w:p>
    <w:p w:rsidR="00DE6824" w:rsidRDefault="00C5550A">
      <w:pPr>
        <w:shd w:val="clear" w:color="auto" w:fill="FFFFFF"/>
        <w:spacing w:before="240" w:after="240"/>
        <w:rPr>
          <w:sz w:val="20"/>
          <w:szCs w:val="20"/>
        </w:rPr>
      </w:pPr>
      <w:r>
        <w:rPr>
          <w:sz w:val="20"/>
          <w:szCs w:val="20"/>
        </w:rPr>
        <w:t>Die Sonderaufwendungen reduziert</w:t>
      </w:r>
      <w:r>
        <w:rPr>
          <w:sz w:val="20"/>
          <w:szCs w:val="20"/>
        </w:rPr>
        <w:t>en sich im Geschäftsjahr 2025 ebenfalls stark auf nur noch 5,3 Mio. € (Vj.: 50,4 Mio. € „Spotlight“) und umfassen die planmäßigen Aufwendungen für das bekannte Fokusprogramm „Spotlight“. Somit verbesserte sich das EBIT deutlich um +66,4 Mio. € auf 31,3 Mio</w:t>
      </w:r>
      <w:r>
        <w:rPr>
          <w:sz w:val="20"/>
          <w:szCs w:val="20"/>
        </w:rPr>
        <w:t xml:space="preserve">. € (Vj.: -35,1 Mio. €). 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b/>
          <w:bCs/>
          <w:color w:val="002355"/>
          <w:sz w:val="20"/>
          <w:szCs w:val="20"/>
        </w:rPr>
        <w:t>Reduzierte Jahresendabhängigkeit und starke Cash-Generierung in Q4-25</w:t>
      </w:r>
      <w:r>
        <w:rPr>
          <w:sz w:val="20"/>
          <w:szCs w:val="20"/>
        </w:rPr>
        <w:br/>
        <w:t>Im vierten Quartal wurde ein operatives EBIT von 30,2 Mio. € (Vj.: 46,5 Mio. €) erzielt. Flankiert durch eine bereits starke operative Performance in Q3-25 (16</w:t>
      </w:r>
      <w:r>
        <w:rPr>
          <w:sz w:val="20"/>
          <w:szCs w:val="20"/>
        </w:rPr>
        <w:t>,0 Mio. €) gelang es so, die Ergebnisentwicklung im zweiten Halbjahr spürbar zu glätten und die Abhängigkeit vom Jahresende im Vorjahresvergleich deutlich zu reduzieren. Durch den starken Mittelzufluss im Q4-25 mit 69,2 Mio. € ergab sich ein positiver Free</w:t>
      </w:r>
      <w:r>
        <w:rPr>
          <w:sz w:val="20"/>
          <w:szCs w:val="20"/>
        </w:rPr>
        <w:t xml:space="preserve"> Cashflow von 7,3 Mio. € für das Gesamtjahr, obwohl er in den ersten neun Monaten noch mit -61,9 Mio. € negativ ausgefallen war.  </w:t>
      </w:r>
    </w:p>
    <w:p w:rsidR="00DE6824" w:rsidRDefault="00C5550A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Dr. Stephen Kimmich, Vorstandsvorsitzender der Koenig &amp; Bauer AG, kommentiert: „Die Ergebnisse des Jahres 2025 belegen die Wi</w:t>
      </w:r>
      <w:r>
        <w:rPr>
          <w:sz w:val="20"/>
          <w:szCs w:val="20"/>
        </w:rPr>
        <w:t xml:space="preserve">rksamkeit unserer Maßnahmen zur Effizienzsteigerung und markieren damit einen Fortschritt in unserer operativen Ertragskraft. Trotz massiver makroökonomischer Gegenwinde haben wir unsere Prognose eingehalten und das Jahr mit einem positiven Free-Cash-Flow </w:t>
      </w:r>
      <w:r>
        <w:rPr>
          <w:sz w:val="20"/>
          <w:szCs w:val="20"/>
        </w:rPr>
        <w:t xml:space="preserve">abgeschlossen. Eine starke Leistung für das gesamte Koenig &amp; Bauer Team.” </w:t>
      </w:r>
    </w:p>
    <w:p w:rsidR="00DE6824" w:rsidRDefault="00C5550A">
      <w:pPr>
        <w:shd w:val="clear" w:color="auto" w:fill="FFFFFF"/>
        <w:rPr>
          <w:sz w:val="20"/>
          <w:szCs w:val="20"/>
        </w:rPr>
      </w:pPr>
      <w:r>
        <w:rPr>
          <w:b/>
          <w:bCs/>
          <w:sz w:val="20"/>
          <w:szCs w:val="20"/>
        </w:rPr>
        <w:br/>
      </w:r>
      <w:r>
        <w:rPr>
          <w:b/>
          <w:bCs/>
          <w:color w:val="002355"/>
          <w:sz w:val="20"/>
          <w:szCs w:val="20"/>
        </w:rPr>
        <w:t>Resiliente Auftragslage trotz Vorjahresbasiseffekte (drupa und US-Großauftrag) – Auftragsbestand auf historisch hohem Niveau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Der Auftragseingang lag am 31.12.2025 mit 1.233,2 Mio. </w:t>
      </w:r>
      <w:r>
        <w:rPr>
          <w:sz w:val="20"/>
          <w:szCs w:val="20"/>
        </w:rPr>
        <w:t>€ erwartungsgemäß unter dem starken Vorjahr (-12,1 %). Das Segment P&amp;P zeigte sich mit einem Rückgang von nur -3,9 % (704,0 Mio. €) im Vergleich zum drupa-Vorjahr äußerst resilient. Der Rückgang im Segment S&amp;T um -19,7 % (558,4 Mio. €) ist maßgeblich auf d</w:t>
      </w:r>
      <w:r>
        <w:rPr>
          <w:sz w:val="20"/>
          <w:szCs w:val="20"/>
        </w:rPr>
        <w:t xml:space="preserve">ie hohen Bestellungen der US-Bundesdruckerei im Vorjahr zurückzuführen. Der Auftragsbestand zum 31.12.2025 beträgt 970,6 Mio. € (Vj.: 1.039,8 Mio. €) und bewegt sich weiterhin auf einem historisch hohen Niveau. 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b/>
          <w:bCs/>
          <w:color w:val="002355"/>
          <w:sz w:val="20"/>
          <w:szCs w:val="20"/>
        </w:rPr>
        <w:t>Ausblick 2026: Stabiler Geschäftsverlauf in</w:t>
      </w:r>
      <w:r>
        <w:rPr>
          <w:b/>
          <w:bCs/>
          <w:color w:val="002355"/>
          <w:sz w:val="20"/>
          <w:szCs w:val="20"/>
        </w:rPr>
        <w:t xml:space="preserve"> volatilen Umfeld erwartet – Umstellung der Guidance auf das operative EBITDA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Vor dem Hintergrund der aktuellen Auftragslage und der volatilen geopolitischen </w:t>
      </w:r>
      <w:r>
        <w:rPr>
          <w:color w:val="0A0F0A"/>
          <w:sz w:val="20"/>
          <w:szCs w:val="20"/>
        </w:rPr>
        <w:t>Rahmenbedingungen erwartet Koenig &amp; Bauer für das Geschäftsjahr 2026 eine Fortsetzung der operativ</w:t>
      </w:r>
      <w:r>
        <w:rPr>
          <w:color w:val="0A0F0A"/>
          <w:sz w:val="20"/>
          <w:szCs w:val="20"/>
        </w:rPr>
        <w:t>en Stabilität. Mit Blick auf die künftigen Anforderungen des IFRS 18, zur Steigerung der Vergleichbarkeit mit der Peer Group sowie zur Schärfung des Fokus auf die operative Cash-Generierung guided das Unternehmen ab dem Geschäftsjahr 2026 auf Basis des ope</w:t>
      </w:r>
      <w:r>
        <w:rPr>
          <w:color w:val="0A0F0A"/>
          <w:sz w:val="20"/>
          <w:szCs w:val="20"/>
        </w:rPr>
        <w:t xml:space="preserve">rativen EBITDA (bisher: operatives EBIT). </w:t>
      </w:r>
      <w:r>
        <w:rPr>
          <w:color w:val="0A0F0A"/>
          <w:sz w:val="20"/>
          <w:szCs w:val="20"/>
        </w:rPr>
        <w:br/>
        <w:t>Unter Berücksichtigung der Chancen und Risiken ist die Prognose an folgende wesentliche Annahmen geknüpft: Vorausgesetzt, dass die weltwirtschaftliche Entwicklung und die Nachfrageimpuls</w:t>
      </w:r>
      <w:r>
        <w:rPr>
          <w:sz w:val="20"/>
          <w:szCs w:val="20"/>
        </w:rPr>
        <w:t>e in den relevanten Teilmär</w:t>
      </w:r>
      <w:r>
        <w:rPr>
          <w:sz w:val="20"/>
          <w:szCs w:val="20"/>
        </w:rPr>
        <w:t>kten stabil bleiben, wird ein Konzernumsatz auf Vorjahresniveau (2025: 1.302,4 Mio. €) erwartet. Unter der Annahme, dass auf Basis der jüngsten US-Rechtsprechung zeitnah Klarheit zu den Einfuhrzöllen besteht, damit Kunden ihre Investitionsentscheidungen oh</w:t>
      </w:r>
      <w:r>
        <w:rPr>
          <w:sz w:val="20"/>
          <w:szCs w:val="20"/>
        </w:rPr>
        <w:t>ne handelsbedingte Verunsicherung treffen können prognostiziert der Vorstand für 2026 ein operatives EBITDA von circa 80 Mio. € wie im Vorjahr. In dem operativen EBITDA sind keine außerordentlichen Ergebniseffekte enthalten.</w:t>
      </w:r>
      <w:r>
        <w:rPr>
          <w:highlight w:val="yellow"/>
        </w:rPr>
        <w:br/>
      </w:r>
      <w:r>
        <w:rPr>
          <w:color w:val="0A0F0A"/>
          <w:sz w:val="20"/>
          <w:szCs w:val="20"/>
        </w:rPr>
        <w:br/>
      </w:r>
      <w:r>
        <w:rPr>
          <w:sz w:val="20"/>
          <w:szCs w:val="20"/>
        </w:rPr>
        <w:t>„Mit der Umstellung unserer Pr</w:t>
      </w:r>
      <w:r>
        <w:rPr>
          <w:sz w:val="20"/>
          <w:szCs w:val="20"/>
        </w:rPr>
        <w:t xml:space="preserve">ognose auf EBITDA unterstreichen wir unseren Fokus auf die operative </w:t>
      </w:r>
      <w:r>
        <w:rPr>
          <w:sz w:val="20"/>
          <w:szCs w:val="20"/>
        </w:rPr>
        <w:lastRenderedPageBreak/>
        <w:t xml:space="preserve">Cash-Generierung und tragen auch frühzeitig für die künftigen Anforderungen von IFRS 18 bei, betont Dr. Alexander Blum, CFO von Koenig &amp; Bauer.” </w:t>
      </w:r>
    </w:p>
    <w:p w:rsidR="00DE6824" w:rsidRDefault="00C5550A">
      <w:pPr>
        <w:shd w:val="clear" w:color="auto" w:fill="FFFFFF"/>
        <w:spacing w:before="240" w:after="240"/>
        <w:rPr>
          <w:color w:val="0A0F0A"/>
          <w:sz w:val="20"/>
          <w:szCs w:val="20"/>
        </w:rPr>
      </w:pPr>
      <w:r>
        <w:rPr>
          <w:color w:val="0A0F0A"/>
          <w:sz w:val="20"/>
          <w:szCs w:val="20"/>
        </w:rPr>
        <w:t>Die detaillierte Guidance wird mit dem Geschäftsbericht am 26. März 2026 veröffentlicht.</w:t>
      </w:r>
    </w:p>
    <w:p w:rsidR="00DE6824" w:rsidRDefault="00C5550A">
      <w:pPr>
        <w:rPr>
          <w:color w:val="0A0F0A"/>
          <w:sz w:val="20"/>
          <w:szCs w:val="20"/>
          <w:highlight w:val="white"/>
        </w:rPr>
      </w:pPr>
      <w:r>
        <w:rPr>
          <w:color w:val="0A0F0A"/>
          <w:sz w:val="20"/>
          <w:szCs w:val="20"/>
          <w:highlight w:val="white"/>
        </w:rPr>
        <w:t>Übersicht vorläufige Zahlen für das Geschäftsjahr 2025:</w:t>
      </w:r>
    </w:p>
    <w:p w:rsidR="00DE6824" w:rsidRDefault="00DE6824"/>
    <w:tbl>
      <w:tblPr>
        <w:tblStyle w:val="a"/>
        <w:tblW w:w="61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1725"/>
        <w:gridCol w:w="1290"/>
      </w:tblGrid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Mio. €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2024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2025</w:t>
            </w:r>
          </w:p>
        </w:tc>
      </w:tr>
      <w:tr w:rsidR="00DE6824">
        <w:tc>
          <w:tcPr>
            <w:tcW w:w="613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Auftragseingang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P&amp;P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732,5</w:t>
            </w:r>
          </w:p>
        </w:tc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704,0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S&amp;T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695,6</w:t>
            </w:r>
          </w:p>
        </w:tc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558,4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Überleitung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-25,4</w:t>
            </w:r>
          </w:p>
        </w:tc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-29,2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Konzern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1.402,7</w:t>
            </w:r>
          </w:p>
        </w:tc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1.233,2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Umsatz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6824" w:rsidRDefault="00DE6824">
            <w:pPr>
              <w:rPr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6824" w:rsidRDefault="00DE6824">
            <w:pPr>
              <w:rPr>
                <w:sz w:val="18"/>
                <w:szCs w:val="18"/>
              </w:rPr>
            </w:pP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P&amp;P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734,8</w:t>
            </w:r>
          </w:p>
        </w:tc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741,5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S&amp;T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558,0</w:t>
            </w:r>
          </w:p>
        </w:tc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596,0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Überleitung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-18,4</w:t>
            </w:r>
          </w:p>
        </w:tc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-35,1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Konzern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1.274,4</w:t>
            </w:r>
          </w:p>
        </w:tc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1.302,4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Auftragsbestand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P&amp;P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407,0</w:t>
            </w:r>
          </w:p>
        </w:tc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369,5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S&amp;T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635,8</w:t>
            </w:r>
          </w:p>
        </w:tc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598,2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Überleitung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-3,0</w:t>
            </w:r>
          </w:p>
        </w:tc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2,9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Konzern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1.039,8</w:t>
            </w:r>
          </w:p>
        </w:tc>
        <w:tc>
          <w:tcPr>
            <w:tcW w:w="12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:rsidR="00DE6824" w:rsidRDefault="00C5550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970,6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EBIT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P&amp;P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17,1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25,0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S&amp;T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-58,5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6,2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Überleitung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6,3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0,1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Konzern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-35,1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31,3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lastRenderedPageBreak/>
              <w:t>Operatives EBIT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P&amp;P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17,1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25,0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S&amp;T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-15,4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9,0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Überleitung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13,6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2,6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Konzern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15,3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36,6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Operatives EBITDA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DE6824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P&amp;P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35,2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42,3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S&amp;T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-1,7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22,2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Überleitung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26,1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color w:val="0A0F0A"/>
                <w:sz w:val="18"/>
                <w:szCs w:val="18"/>
                <w:highlight w:val="white"/>
              </w:rPr>
            </w:pPr>
            <w:r>
              <w:rPr>
                <w:color w:val="0A0F0A"/>
                <w:sz w:val="18"/>
                <w:szCs w:val="18"/>
                <w:highlight w:val="white"/>
              </w:rPr>
              <w:t>15,1</w:t>
            </w:r>
          </w:p>
        </w:tc>
      </w:tr>
      <w:tr w:rsidR="00DE682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Konzern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59,6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E6824" w:rsidRDefault="00C5550A">
            <w:pPr>
              <w:widowControl w:val="0"/>
              <w:spacing w:line="240" w:lineRule="auto"/>
              <w:rPr>
                <w:b/>
                <w:bCs/>
                <w:color w:val="0A0F0A"/>
                <w:sz w:val="18"/>
                <w:szCs w:val="18"/>
                <w:highlight w:val="white"/>
              </w:rPr>
            </w:pPr>
            <w:r>
              <w:rPr>
                <w:b/>
                <w:bCs/>
                <w:color w:val="0A0F0A"/>
                <w:sz w:val="18"/>
                <w:szCs w:val="18"/>
                <w:highlight w:val="white"/>
              </w:rPr>
              <w:t>79,6</w:t>
            </w:r>
          </w:p>
        </w:tc>
      </w:tr>
    </w:tbl>
    <w:p w:rsidR="00DE6824" w:rsidRDefault="00DE6824"/>
    <w:p w:rsidR="00DE6824" w:rsidRDefault="00DE6824">
      <w:pPr>
        <w:pStyle w:val="berschrift4"/>
        <w:spacing w:before="0" w:after="0"/>
        <w:rPr>
          <w:b/>
          <w:bCs/>
          <w:color w:val="000000"/>
          <w:sz w:val="20"/>
          <w:szCs w:val="20"/>
        </w:rPr>
      </w:pPr>
      <w:bookmarkStart w:id="2" w:name="_q2yezk7edl7u" w:colFirst="0" w:colLast="0"/>
      <w:bookmarkEnd w:id="2"/>
    </w:p>
    <w:p w:rsidR="00DE6824" w:rsidRDefault="00DE6824">
      <w:pPr>
        <w:pStyle w:val="berschrift4"/>
        <w:spacing w:before="0" w:after="0"/>
        <w:rPr>
          <w:b/>
          <w:bCs/>
          <w:color w:val="000000"/>
          <w:sz w:val="20"/>
          <w:szCs w:val="20"/>
        </w:rPr>
      </w:pPr>
      <w:bookmarkStart w:id="3" w:name="_yq7lmjoe5wt0" w:colFirst="0" w:colLast="0"/>
      <w:bookmarkEnd w:id="3"/>
    </w:p>
    <w:p w:rsidR="00DE6824" w:rsidRDefault="00C5550A">
      <w:pPr>
        <w:pStyle w:val="berschrift4"/>
        <w:spacing w:before="0" w:after="0"/>
        <w:rPr>
          <w:b/>
          <w:bCs/>
          <w:color w:val="000000"/>
          <w:sz w:val="20"/>
          <w:szCs w:val="20"/>
        </w:rPr>
      </w:pPr>
      <w:bookmarkStart w:id="4" w:name="_c398knssqtt8" w:colFirst="0" w:colLast="0"/>
      <w:bookmarkEnd w:id="4"/>
      <w:r>
        <w:rPr>
          <w:b/>
          <w:bCs/>
          <w:color w:val="000000"/>
          <w:sz w:val="20"/>
          <w:szCs w:val="20"/>
        </w:rPr>
        <w:t>Ansprechpartnerin für Investor Relations</w:t>
      </w:r>
    </w:p>
    <w:p w:rsidR="00DE6824" w:rsidRDefault="00C5550A">
      <w:pPr>
        <w:spacing w:after="240"/>
        <w:rPr>
          <w:sz w:val="20"/>
          <w:szCs w:val="20"/>
        </w:rPr>
      </w:pPr>
      <w:r>
        <w:rPr>
          <w:sz w:val="20"/>
          <w:szCs w:val="20"/>
        </w:rPr>
        <w:t>Koenig &amp; Bauer AG</w:t>
      </w:r>
      <w:r>
        <w:rPr>
          <w:sz w:val="20"/>
          <w:szCs w:val="20"/>
        </w:rPr>
        <w:br/>
        <w:t>Lena Landenberger</w:t>
      </w:r>
      <w:r>
        <w:rPr>
          <w:sz w:val="20"/>
          <w:szCs w:val="20"/>
        </w:rPr>
        <w:br/>
        <w:t>+49 931 909 4085</w:t>
      </w:r>
      <w:r>
        <w:rPr>
          <w:sz w:val="20"/>
          <w:szCs w:val="20"/>
        </w:rPr>
        <w:br/>
      </w:r>
      <w:hyperlink r:id="rId7">
        <w:r>
          <w:rPr>
            <w:color w:val="1155CC"/>
            <w:sz w:val="20"/>
            <w:szCs w:val="20"/>
            <w:u w:val="single"/>
          </w:rPr>
          <w:t>lena.landenberger@koenig-bauer.com</w:t>
        </w:r>
      </w:hyperlink>
    </w:p>
    <w:p w:rsidR="00DE6824" w:rsidRDefault="00DE6824">
      <w:pPr>
        <w:spacing w:after="240"/>
        <w:rPr>
          <w:sz w:val="20"/>
          <w:szCs w:val="20"/>
        </w:rPr>
      </w:pPr>
    </w:p>
    <w:p w:rsidR="00DE6824" w:rsidRDefault="00C5550A">
      <w:pPr>
        <w:shd w:val="clear" w:color="auto" w:fill="FFFFFF"/>
        <w:spacing w:before="240" w:after="240" w:line="25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Über Koenig &amp; Bauer</w:t>
      </w:r>
    </w:p>
    <w:p w:rsidR="00DE6824" w:rsidRDefault="00C5550A">
      <w:pPr>
        <w:spacing w:after="240"/>
        <w:rPr>
          <w:sz w:val="20"/>
          <w:szCs w:val="20"/>
        </w:rPr>
      </w:pPr>
      <w:r>
        <w:rPr>
          <w:sz w:val="20"/>
          <w:szCs w:val="20"/>
        </w:rPr>
        <w:t>Koenig &amp; Bauer mit Sitz in Würzburg (Deutschl</w:t>
      </w:r>
      <w:r>
        <w:rPr>
          <w:sz w:val="20"/>
          <w:szCs w:val="20"/>
        </w:rPr>
        <w:t>and) ist ein weltweit tätiger Druckmaschinenhersteller. Das Unternehmen produziert Maschinen und Software-Lösungen für den gesamten Prozess von Druck und Weiterverarbeitung, schwerpunktmäßig im Bereich der Verpackungen. Anlagen von Koenig &amp; Bauer können na</w:t>
      </w:r>
      <w:r>
        <w:rPr>
          <w:sz w:val="20"/>
          <w:szCs w:val="20"/>
        </w:rPr>
        <w:t>hezu alle Substrate bedrucken – das Portfolio reicht von Banknoten über Karton-, Wellpappe-, Folien-, Blech- und Glasverpackungen bis hin zum Bücher-, Display-, Kennzeichnungs-, Dekor-, Magazin-, Werbe- und Zeitungsdruck. Mit einer über 200-jährigen Geschi</w:t>
      </w:r>
      <w:r>
        <w:rPr>
          <w:sz w:val="20"/>
          <w:szCs w:val="20"/>
        </w:rPr>
        <w:t>chte ist Koenig &amp; Bauer der älteste Druckmaschinenhersteller der Welt und beherrscht heute fast alle Druckverfahren. Im gesamten Konzern arbeiten rund 5.600 Menschen. Koenig &amp; Bauer produziert an elf Standorten in Europa und unterhält ein weltweites Vertri</w:t>
      </w:r>
      <w:r>
        <w:rPr>
          <w:sz w:val="20"/>
          <w:szCs w:val="20"/>
        </w:rPr>
        <w:t>ebs- und Servicenetzwerk. Der Konzernumsatz im Geschäftsjahr 2024 lag bei rund 1,3 Milliarden Euro.</w:t>
      </w:r>
    </w:p>
    <w:p w:rsidR="00DE6824" w:rsidRDefault="00C5550A">
      <w:pPr>
        <w:spacing w:after="240"/>
      </w:pPr>
      <w:r>
        <w:rPr>
          <w:sz w:val="20"/>
          <w:szCs w:val="20"/>
        </w:rPr>
        <w:t>Weitere Informationen unter</w:t>
      </w:r>
      <w:hyperlink r:id="rId8">
        <w:r>
          <w:rPr>
            <w:color w:val="1155CC"/>
            <w:sz w:val="20"/>
            <w:szCs w:val="20"/>
            <w:u w:val="single"/>
          </w:rPr>
          <w:t xml:space="preserve"> www.koenig-bauer.com</w:t>
        </w:r>
      </w:hyperlink>
    </w:p>
    <w:sectPr w:rsidR="00DE6824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5550A">
      <w:pPr>
        <w:spacing w:line="240" w:lineRule="auto"/>
      </w:pPr>
      <w:r>
        <w:separator/>
      </w:r>
    </w:p>
  </w:endnote>
  <w:endnote w:type="continuationSeparator" w:id="0">
    <w:p w:rsidR="00000000" w:rsidRDefault="00C555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3A9800-43D5-4D3F-BFC2-01D1C7C6E0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7F627B6-D0B5-4448-8D5B-EBCEE43F10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824" w:rsidRDefault="00C5550A">
    <w:pPr>
      <w:jc w:val="right"/>
    </w:pPr>
    <w:r>
      <w:rPr>
        <w:sz w:val="14"/>
        <w:szCs w:val="14"/>
      </w:rPr>
      <w:t xml:space="preserve">Vorläufige Zahlen 2025 | </w:t>
    </w:r>
    <w:r>
      <w:rPr>
        <w:sz w:val="14"/>
        <w:szCs w:val="14"/>
      </w:rPr>
      <w:fldChar w:fldCharType="begin"/>
    </w:r>
    <w:r>
      <w:rPr>
        <w:sz w:val="14"/>
        <w:szCs w:val="14"/>
      </w:rPr>
      <w:instrText>PAGE</w:instrText>
    </w:r>
    <w:r>
      <w:rPr>
        <w:sz w:val="14"/>
        <w:szCs w:val="14"/>
      </w:rPr>
      <w:fldChar w:fldCharType="separate"/>
    </w:r>
    <w:r>
      <w:rPr>
        <w:noProof/>
        <w:sz w:val="14"/>
        <w:szCs w:val="14"/>
      </w:rPr>
      <w:t>2</w:t>
    </w:r>
    <w:r>
      <w:rPr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824" w:rsidRDefault="00C5550A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  <w:p w:rsidR="00DE6824" w:rsidRDefault="00DE682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5550A">
      <w:pPr>
        <w:spacing w:line="240" w:lineRule="auto"/>
      </w:pPr>
      <w:r>
        <w:separator/>
      </w:r>
    </w:p>
  </w:footnote>
  <w:footnote w:type="continuationSeparator" w:id="0">
    <w:p w:rsidR="00000000" w:rsidRDefault="00C555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824" w:rsidRDefault="00C5550A">
    <w:pPr>
      <w:tabs>
        <w:tab w:val="center" w:pos="4536"/>
        <w:tab w:val="right" w:pos="9072"/>
      </w:tabs>
      <w:spacing w:after="240" w:line="240" w:lineRule="auto"/>
      <w:jc w:val="center"/>
      <w:rPr>
        <w:sz w:val="15"/>
        <w:szCs w:val="15"/>
      </w:rPr>
    </w:pPr>
    <w:r>
      <w:rPr>
        <w:noProof/>
        <w:sz w:val="15"/>
        <w:szCs w:val="15"/>
        <w:lang w:val="de-DE"/>
      </w:rPr>
      <w:drawing>
        <wp:inline distT="0" distB="0" distL="0" distR="0">
          <wp:extent cx="2523600" cy="216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3600" cy="2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E6824" w:rsidRDefault="00DE68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51DBA"/>
    <w:multiLevelType w:val="multilevel"/>
    <w:tmpl w:val="46B02E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824"/>
    <w:rsid w:val="00C5550A"/>
    <w:rsid w:val="00DE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3F25BA-5403-45F2-A1B1-B844197FE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enig-bauer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ena.landenberger@koenig-bauer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1060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KOENIG &amp; BAUER AG</Company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Rügamer, René (ZFI)</dc:creator>
  <cp:lastModifiedBy>Rügamer, René (ZFI)</cp:lastModifiedBy>
  <cp:revision>2</cp:revision>
  <dcterms:created xsi:type="dcterms:W3CDTF">2026-02-26T18:46:00Z</dcterms:created>
  <dcterms:modified xsi:type="dcterms:W3CDTF">2026-02-26T18:46:00Z</dcterms:modified>
</cp:coreProperties>
</file>